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8" w:name="X025f29f9aa129c265f5d23a8528e94936468dd4"/>
    <w:p>
      <w:pPr>
        <w:pStyle w:val="Heading1"/>
      </w:pPr>
      <w:r>
        <w:t xml:space="preserve">Data Centers, Submarine Cables, and the Concentrated-Costs / Dispersed-Benefits Frame</w:t>
      </w:r>
    </w:p>
    <w:p>
      <w:pPr>
        <w:pStyle w:val="FirstParagraph"/>
      </w:pPr>
      <w:r>
        <w:rPr>
          <w:b/>
          <w:bCs/>
        </w:rPr>
        <w:t xml:space="preserve">Author:</w:t>
      </w:r>
      <w:r>
        <w:t xml:space="preserve"> </w:t>
      </w:r>
      <w:r>
        <w:t xml:space="preserve">David Adams ·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2026-05-17</w:t>
      </w:r>
      <w:r>
        <w:t xml:space="preserve"> </w:t>
      </w:r>
      <w:r>
        <w:rPr>
          <w:b/>
          <w:bCs/>
        </w:rPr>
        <w:t xml:space="preserve">Data:</w:t>
      </w:r>
      <w:r>
        <w:t xml:space="preserve"> </w:t>
      </w:r>
      <w:r>
        <w:t xml:space="preserve">PostGIS</w:t>
      </w:r>
      <w:r>
        <w:t xml:space="preserve"> </w:t>
      </w:r>
      <w:r>
        <w:rPr>
          <w:rStyle w:val="VerbatimChar"/>
        </w:rPr>
        <w:t xml:space="preserve">data_centers</w:t>
      </w:r>
      <w:r>
        <w:t xml:space="preserve"> </w:t>
      </w:r>
      <w:r>
        <w:t xml:space="preserve">DB —</w:t>
      </w:r>
      <w:r>
        <w:t xml:space="preserve"> </w:t>
      </w:r>
      <w:r>
        <w:rPr>
          <w:rStyle w:val="VerbatimChar"/>
        </w:rPr>
        <w:t xml:space="preserve">us_dc_sample_geocoded</w:t>
      </w:r>
      <w:r>
        <w:t xml:space="preserve"> </w:t>
      </w:r>
      <w:r>
        <w:t xml:space="preserve">(1,489 DCs),</w:t>
      </w:r>
      <w:r>
        <w:t xml:space="preserve"> </w:t>
      </w:r>
      <w:r>
        <w:rPr>
          <w:rStyle w:val="VerbatimChar"/>
        </w:rPr>
        <w:t xml:space="preserve">data_center_census_tracts_2024</w:t>
      </w:r>
      <w:r>
        <w:t xml:space="preserve"> </w:t>
      </w:r>
      <w:r>
        <w:t xml:space="preserve">(611 tracts, ACS 2024 5-yr enriched),</w:t>
      </w:r>
      <w:r>
        <w:t xml:space="preserve"> </w:t>
      </w:r>
      <w:r>
        <w:rPr>
          <w:rStyle w:val="VerbatimChar"/>
        </w:rPr>
        <w:t xml:space="preserve">internet_cables</w:t>
      </w:r>
      <w:r>
        <w:t xml:space="preserve"> </w:t>
      </w:r>
      <w:r>
        <w:t xml:space="preserve">(693 cables),</w:t>
      </w:r>
      <w:r>
        <w:t xml:space="preserve"> </w:t>
      </w:r>
      <w:r>
        <w:rPr>
          <w:rStyle w:val="VerbatimChar"/>
        </w:rPr>
        <w:t xml:space="preserve">internet_city_dominance</w:t>
      </w:r>
      <w:r>
        <w:t xml:space="preserve"> </w:t>
      </w:r>
      <w:r>
        <w:t xml:space="preserve">(4,552 cities),</w:t>
      </w:r>
      <w:r>
        <w:t xml:space="preserve"> </w:t>
      </w:r>
      <w:r>
        <w:rPr>
          <w:rStyle w:val="VerbatimChar"/>
        </w:rPr>
        <w:t xml:space="preserve">census_tract_acs_2024_selected_states.csv</w:t>
      </w:r>
      <w:r>
        <w:t xml:space="preserve"> </w:t>
      </w:r>
      <w:r>
        <w:t xml:space="preserve">(83,811 tracts, 46 states).</w:t>
      </w:r>
    </w:p>
    <w:p>
      <w:r>
        <w:pict>
          <v:rect style="width:0;height:1.5pt" o:hralign="center" o:hrstd="t" o:hr="t"/>
        </w:pict>
      </w:r>
    </w:p>
    <w:bookmarkStart w:id="9" w:name="X379c640cfbd0981a45f8c66c43622f400ea06fd"/>
    <w:p>
      <w:pPr>
        <w:pStyle w:val="Heading2"/>
      </w:pPr>
      <w:r>
        <w:t xml:space="preserve">1. Are US data centers spatially tied to submarine cables?</w:t>
      </w:r>
    </w:p>
    <w:p>
      <w:pPr>
        <w:pStyle w:val="FirstParagraph"/>
      </w:pPr>
      <w:r>
        <w:t xml:space="preserve">Distance from each point to the nearest submarine cable line (km):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05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  <w:gridCol w:w="67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Group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Mean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p10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p25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p50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p75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p90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≤10 km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≤50 km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≤100 km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≤250 km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 data centers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1,489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358.7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21.6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163.1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276.1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477.4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867.4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5.2%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16.8%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32.2%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 population cities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1,291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339.7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61.2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256.1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528.0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811.0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6.8%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22.5%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31.8%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49.5%</w:t>
            </w:r>
          </w:p>
        </w:tc>
      </w:tr>
    </w:tbl>
    <w:p>
      <w:pPr>
        <w:pStyle w:val="BodyText"/>
      </w:pPr>
      <w:r>
        <w:t xml:space="preserve">Mann-Whitney U two-sided:</w:t>
      </w:r>
      <w:r>
        <w:t xml:space="preserve"> </w:t>
      </w:r>
      <w:r>
        <w:rPr>
          <w:b/>
          <w:bCs/>
        </w:rPr>
        <w:t xml:space="preserve">z = 2.66, p ≈ 0.008</w:t>
      </w:r>
      <w:r>
        <w:t xml:space="preserve"> </w:t>
      </w:r>
      <w:r>
        <w:t xml:space="preserve">— significant, but in the</w:t>
      </w:r>
      <w:r>
        <w:t xml:space="preserve"> </w:t>
      </w:r>
      <w:r>
        <w:rPr>
          <w:i/>
          <w:iCs/>
        </w:rPr>
        <w:t xml:space="preserve">opposite</w:t>
      </w:r>
      <w:r>
        <w:t xml:space="preserve"> </w:t>
      </w:r>
      <w:r>
        <w:t xml:space="preserve">direction. DCs are</w:t>
      </w:r>
      <w:r>
        <w:t xml:space="preserve"> </w:t>
      </w:r>
      <w:r>
        <w:rPr>
          <w:b/>
          <w:bCs/>
        </w:rPr>
        <w:t xml:space="preserve">not</w:t>
      </w:r>
      <w:r>
        <w:t xml:space="preserve"> </w:t>
      </w:r>
      <w:r>
        <w:t xml:space="preserve">systematically closer to cables than</w:t>
      </w:r>
      <w:r>
        <w:t xml:space="preserve"> </w:t>
      </w:r>
      <w:r>
        <w:t xml:space="preserve">ordinary US cities.</w:t>
      </w:r>
    </w:p>
    <w:p>
      <w:pPr>
        <w:pStyle w:val="BodyText"/>
      </w:pPr>
      <w:r>
        <w:rPr>
          <w:b/>
          <w:bCs/>
        </w:rPr>
        <w:t xml:space="preserve">Interpretation.</w:t>
      </w:r>
      <w:r>
        <w:t xml:space="preserve"> </w:t>
      </w:r>
      <w:r>
        <w:t xml:space="preserve">At the national level the</w:t>
      </w:r>
      <w:r>
        <w:t xml:space="preserve"> </w:t>
      </w:r>
      <w:r>
        <w:t xml:space="preserve">“cables drive DC siting”</w:t>
      </w:r>
      <w:r>
        <w:t xml:space="preserve"> </w:t>
      </w:r>
      <w:r>
        <w:t xml:space="preserve">story</w:t>
      </w:r>
      <w:r>
        <w:t xml:space="preserve"> </w:t>
      </w:r>
      <w:r>
        <w:t xml:space="preserve">fails. The largest clusters — Loudoun County VA (Ashburn), central</w:t>
      </w:r>
      <w:r>
        <w:t xml:space="preserve"> </w:t>
      </w:r>
      <w:r>
        <w:t xml:space="preserve">Washington, Hillsboro OR, Columbus OH, Iowa — are inland, anchored to</w:t>
      </w:r>
      <w:r>
        <w:t xml:space="preserve"> </w:t>
      </w:r>
      <w:r>
        <w:t xml:space="preserve">terrestrial fiber, cheap power, and tax incentives rather than submarine</w:t>
      </w:r>
      <w:r>
        <w:t xml:space="preserve"> </w:t>
      </w:r>
      <w:r>
        <w:t xml:space="preserve">landings. Only 21.4% of DCs sit within 100 km of any cable.</w:t>
      </w:r>
    </w:p>
    <w:p>
      <w:r>
        <w:pict>
          <v:rect style="width:0;height:1.5pt" o:hralign="center" o:hrstd="t" o:hr="t"/>
        </w:pict>
      </w:r>
    </w:p>
    <w:bookmarkEnd w:id="9"/>
    <w:bookmarkStart w:id="10" w:name="cost-concentration-at-the-state-level"/>
    <w:p>
      <w:pPr>
        <w:pStyle w:val="Heading2"/>
      </w:pPr>
      <w:r>
        <w:t xml:space="preserve">2. Cost concentration at the state level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Measure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States covered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Gini of DC counts across states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0.648</w:t>
            </w:r>
          </w:p>
        </w:tc>
      </w:tr>
      <w:tr>
        <w:tc>
          <w:tcPr/>
          <w:p>
            <w:pPr>
              <w:pStyle w:val="Compact"/>
            </w:pPr>
            <w:r>
              <w:t xml:space="preserve">HHI of state shares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0.080</w:t>
            </w:r>
          </w:p>
        </w:tc>
      </w:tr>
    </w:tbl>
    <w:p>
      <w:pPr>
        <w:pStyle w:val="BodyText"/>
      </w:pPr>
      <w:r>
        <w:t xml:space="preserve">Top states by share of US data centers: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State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Share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Cumulative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21.4%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21.4%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8.7%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30.1%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TX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8.1%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38.1%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45.0%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51.0%</w:t>
            </w:r>
          </w:p>
        </w:tc>
      </w:tr>
      <w:tr>
        <w:tc>
          <w:tcPr/>
          <w:p>
            <w:pPr>
              <w:pStyle w:val="Compact"/>
            </w:pPr>
            <w:r>
              <w:t xml:space="preserve">OH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4.6%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55.7%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AZ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4.0%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59.7%</w:t>
            </w:r>
          </w:p>
        </w:tc>
      </w:tr>
      <w:tr>
        <w:tc>
          <w:tcPr/>
          <w:p>
            <w:pPr>
              <w:pStyle w:val="Compact"/>
            </w:pPr>
            <w:r>
              <w:t xml:space="preserve">IA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3.9%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63.6%</w:t>
            </w:r>
          </w:p>
        </w:tc>
      </w:tr>
    </w:tbl>
    <w:p>
      <w:pPr>
        <w:pStyle w:val="BodyText"/>
      </w:pPr>
      <w:r>
        <w:t xml:space="preserve">Five states hold</w:t>
      </w:r>
      <w:r>
        <w:t xml:space="preserve"> </w:t>
      </w:r>
      <w:r>
        <w:rPr>
          <w:b/>
          <w:bCs/>
        </w:rPr>
        <w:t xml:space="preserve">half</w:t>
      </w:r>
      <w:r>
        <w:t xml:space="preserve"> </w:t>
      </w:r>
      <w:r>
        <w:t xml:space="preserve">of all US data centers.</w:t>
      </w:r>
    </w:p>
    <w:p>
      <w:r>
        <w:pict>
          <v:rect style="width:0;height:1.5pt" o:hralign="center" o:hrstd="t" o:hr="t"/>
        </w:pict>
      </w:r>
    </w:p>
    <w:bookmarkEnd w:id="10"/>
    <w:bookmarkStart w:id="11" w:name="cost-concentration-at-the-tract-level"/>
    <w:p>
      <w:pPr>
        <w:pStyle w:val="Heading2"/>
      </w:pPr>
      <w:r>
        <w:t xml:space="preserve">3. Cost concentration at the tract level</w:t>
      </w:r>
    </w:p>
    <w:p>
      <w:pPr>
        <w:pStyle w:val="FirstParagraph"/>
      </w:pPr>
      <w:r>
        <w:t xml:space="preserve">Much sharper than state-level: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Measure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DC-hosting tracts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611</w:t>
            </w:r>
          </w:p>
        </w:tc>
      </w:tr>
      <w:tr>
        <w:tc>
          <w:tcPr/>
          <w:p>
            <w:pPr>
              <w:pStyle w:val="Compact"/>
            </w:pPr>
            <w:r>
              <w:t xml:space="preserve">DCs in those tracts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1,489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Gini of DC counts across DC-hosting tracts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0.499</w:t>
            </w:r>
          </w:p>
        </w:tc>
      </w:tr>
      <w:tr>
        <w:tc>
          <w:tcPr/>
          <w:p>
            <w:pPr>
              <w:pStyle w:val="Compact"/>
            </w:pPr>
            <w:r>
              <w:t xml:space="preserve">HHI of DC shares across DC-hosting tracts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0.0069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Top 1% of host tracts (6 tracts) hold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14.6% of all DCs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Top 5% of host tracts (30 tracts) hold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33.3% of all DCs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Top 20% of host tracts (122 tracts) hold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60.6% of all DCs</w:t>
            </w:r>
          </w:p>
        </w:tc>
      </w:tr>
    </w:tbl>
    <w:p>
      <w:pPr>
        <w:pStyle w:val="BodyText"/>
      </w:pPr>
      <w:r>
        <w:t xml:space="preserve">Population scaling: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Population living in a DC-hosting tract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2,868,863</w:t>
            </w:r>
          </w:p>
        </w:tc>
      </w:tr>
      <w:tr>
        <w:tc>
          <w:tcPr/>
          <w:p>
            <w:pPr>
              <w:pStyle w:val="Compact"/>
            </w:pPr>
            <w:r>
              <w:t xml:space="preserve">Total population (DC-state ACS universe)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332,343,349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% of DC-host-state residents in a DC-hosting tract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0.86%</w:t>
            </w:r>
          </w:p>
        </w:tc>
      </w:tr>
      <w:tr>
        <w:tc>
          <w:tcPr/>
          <w:p>
            <w:pPr>
              <w:pStyle w:val="Compact"/>
            </w:pPr>
            <w:r>
              <w:t xml:space="preserve">DCs per resident, DC-hosting tracts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per 1,927</w:t>
            </w:r>
          </w:p>
        </w:tc>
      </w:tr>
      <w:tr>
        <w:tc>
          <w:tcPr/>
          <w:p>
            <w:pPr>
              <w:pStyle w:val="Compact"/>
            </w:pPr>
            <w:r>
              <w:t xml:space="preserve">DCs per resident, DC-state average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 per 223,199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Per-capita DC burden, host vs. average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~115×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1"/>
    <w:bookmarkStart w:id="12" w:name="X0e36b2bb8f0d6f71213386881f3bf769e492489"/>
    <w:p>
      <w:pPr>
        <w:pStyle w:val="Heading2"/>
      </w:pPr>
      <w:r>
        <w:t xml:space="preserve">4. Who bears the costs? (ACS profile of DC tracts vs. peer tracts in same states)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112"/>
        <w:gridCol w:w="2112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DC tracts (median)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Non-DC peers (median)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Δ (DC − peer)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Median household income (</w:t>
            </w:r>
            <m:oMath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|</m:t>
              </m:r>
              <m:r>
                <m:t>91</m:t>
              </m:r>
              <m:r>
                <m:rPr>
                  <m:sty m:val="p"/>
                </m:rPr>
                <m:t>,</m:t>
              </m:r>
              <m:r>
                <m:t>082</m:t>
              </m:r>
              <m:r>
                <m:rPr>
                  <m:sty m:val="p"/>
                </m:rPr>
                <m:t>|</m:t>
              </m:r>
              <m:r>
                <m:t>76</m:t>
              </m:r>
              <m:r>
                <m:rPr>
                  <m:sty m:val="p"/>
                </m:rPr>
                <m:t>,</m:t>
              </m:r>
              <m:r>
                <m:t>637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*</m:t>
              </m:r>
              <m:r>
                <m:rPr>
                  <m:sty m:val="p"/>
                </m:rPr>
                <m:t>*</m:t>
              </m:r>
              <m:r>
                <m:rPr>
                  <m:sty m:val="p"/>
                </m:rPr>
                <m:t>+</m:t>
              </m:r>
              <m:r>
                <m:t>14</m:t>
              </m:r>
              <m:r>
                <m:rPr>
                  <m:sty m:val="p"/>
                </m:rPr>
                <m:t>,</m:t>
              </m:r>
              <m:r>
                <m:t>446</m:t>
              </m:r>
              <m:r>
                <m:rPr>
                  <m:sty m:val="p"/>
                </m:rPr>
                <m:t>*</m:t>
              </m:r>
              <m:r>
                <m:rPr>
                  <m:sty m:val="p"/>
                </m:rPr>
                <m:t>*</m:t>
              </m:r>
              <m:r>
                <m:rPr>
                  <m:sty m:val="p"/>
                </m:rPr>
                <m:t>|</m:t>
              </m:r>
              <m:r>
                <m:rPr>
                  <m:sty m:val="p"/>
                </m:rPr>
                <m:t>|</m:t>
              </m:r>
              <m:r>
                <m:t>P</m:t>
              </m:r>
              <m:r>
                <m:t>e</m:t>
              </m:r>
              <m:r>
                <m:t>r</m:t>
              </m:r>
              <m:r>
                <m:rPr>
                  <m:sty m:val="p"/>
                </m:rPr>
                <m:t>−</m:t>
              </m:r>
              <m:r>
                <m:t>c</m:t>
              </m:r>
              <m:r>
                <m:t>a</m:t>
              </m:r>
              <m:r>
                <m:t>p</m:t>
              </m:r>
              <m:r>
                <m:t>i</m:t>
              </m:r>
              <m:r>
                <m:t>t</m:t>
              </m:r>
              <m:r>
                <m:t>a</m:t>
              </m:r>
              <m:r>
                <m:t>i</m:t>
              </m:r>
              <m:r>
                <m:t>n</m:t>
              </m:r>
              <m:r>
                <m:t>c</m:t>
              </m:r>
              <m:r>
                <m:t>o</m:t>
              </m:r>
              <m:r>
                <m:t>m</m:t>
              </m:r>
              <m:r>
                <m:t>e</m:t>
              </m:r>
              <m:r>
                <m:rPr>
                  <m:sty m:val="p"/>
                </m:rPr>
                <m:t>(</m:t>
              </m:r>
            </m:oMath>
            <w:r>
              <w:t xml:space="preserve">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48,111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38,546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+9,565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Broadband subscription (%)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94.2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92.0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+2.2</w:t>
            </w:r>
          </w:p>
        </w:tc>
      </w:tr>
      <w:tr>
        <w:tc>
          <w:tcPr/>
          <w:p>
            <w:pPr>
              <w:pStyle w:val="Compact"/>
            </w:pPr>
            <w:r>
              <w:t xml:space="preserve">Poverty rate (%)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−2.0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Non-Hispanic White (%)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52.4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64.7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−12.3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Non-Hispanic Black (%)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6.7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+2.8</w:t>
            </w:r>
          </w:p>
        </w:tc>
      </w:tr>
      <w:tr>
        <w:tc>
          <w:tcPr/>
          <w:p>
            <w:pPr>
              <w:pStyle w:val="Compact"/>
            </w:pPr>
            <w:r>
              <w:t xml:space="preserve">Hispanic/Latino (%)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11.9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9.8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+2.1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Non-Hispanic Asian (%)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+3.7</w:t>
            </w:r>
          </w:p>
        </w:tc>
      </w:tr>
    </w:tbl>
    <w:p>
      <w:pPr>
        <w:pStyle w:val="BodyText"/>
      </w:pPr>
      <w:r>
        <w:t xml:space="preserve">Population-weighted means in DC tracts: MHI</w:t>
      </w:r>
      <w:r>
        <w:t xml:space="preserve"> </w:t>
      </w:r>
      <w:r>
        <w:rPr>
          <w:b/>
          <w:bCs/>
        </w:rPr>
        <w:t xml:space="preserve">$109,145</w:t>
      </w:r>
      <w:r>
        <w:t xml:space="preserve">, broadband</w:t>
      </w:r>
      <w:r>
        <w:t xml:space="preserve"> </w:t>
      </w:r>
      <w:r>
        <w:rPr>
          <w:b/>
          <w:bCs/>
        </w:rPr>
        <w:t xml:space="preserve">93.2%</w:t>
      </w:r>
      <w:r>
        <w:t xml:space="preserve">,</w:t>
      </w:r>
      <w:r>
        <w:t xml:space="preserve"> </w:t>
      </w:r>
      <w:r>
        <w:t xml:space="preserve">poverty 11.1%. The actual residents of host communities are concentrated in</w:t>
      </w:r>
      <w:r>
        <w:t xml:space="preserve"> </w:t>
      </w:r>
      <w:r>
        <w:t xml:space="preserve">affluent tech corridors (Loudoun, Silicon Valley, Seattle eastside,</w:t>
      </w:r>
      <w:r>
        <w:t xml:space="preserve"> </w:t>
      </w:r>
      <w:r>
        <w:t xml:space="preserve">Hillsboro OR).</w:t>
      </w:r>
    </w:p>
    <w:p>
      <w:pPr>
        <w:pStyle w:val="BodyText"/>
      </w:pPr>
      <w:r>
        <w:t xml:space="preserve">Primary-industry mix of host tracts (count of tracts):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525"/>
        <w:gridCol w:w="3394"/>
      </w:tblGrid>
      <w:tr>
        <w:trPr>
          <w:tblHeader w:val="on"/>
        </w:trPr>
        <w:tc>
          <w:tcPr/>
          <w:p>
            <w:pPr>
              <w:pStyle w:val="Compact"/>
              <w:jc w:val="right"/>
            </w:pPr>
            <w:r>
              <w:t xml:space="preserve">Tracts</w:t>
            </w:r>
          </w:p>
        </w:tc>
        <w:tc>
          <w:tcPr/>
          <w:p>
            <w:pPr>
              <w:pStyle w:val="Compact"/>
            </w:pPr>
            <w:r>
              <w:t xml:space="preserve">Primary industry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351</w:t>
            </w:r>
          </w:p>
        </w:tc>
        <w:tc>
          <w:tcPr/>
          <w:p>
            <w:pPr>
              <w:pStyle w:val="Compact"/>
            </w:pPr>
            <w:r>
              <w:t xml:space="preserve">Educational services, and health care and social assistance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133</w:t>
            </w:r>
          </w:p>
        </w:tc>
        <w:tc>
          <w:tcPr/>
          <w:p>
            <w:pPr>
              <w:pStyle w:val="Compact"/>
            </w:pPr>
            <w:r>
              <w:t xml:space="preserve">Professional, scientific, management, administrative, and waste management services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35</w:t>
            </w:r>
          </w:p>
        </w:tc>
        <w:tc>
          <w:tcPr/>
          <w:p>
            <w:pPr>
              <w:pStyle w:val="Compact"/>
            </w:pPr>
            <w:r>
              <w:t xml:space="preserve">Manufacturing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26</w:t>
            </w:r>
          </w:p>
        </w:tc>
        <w:tc>
          <w:tcPr/>
          <w:p>
            <w:pPr>
              <w:pStyle w:val="Compact"/>
            </w:pPr>
            <w:r>
              <w:t xml:space="preserve">Arts, entertainment, recreation, accommodation, and food services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22</w:t>
            </w:r>
          </w:p>
        </w:tc>
        <w:tc>
          <w:tcPr/>
          <w:p>
            <w:pPr>
              <w:pStyle w:val="Compact"/>
            </w:pPr>
            <w:r>
              <w:t xml:space="preserve">Retail trade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Agriculture, forestry, fishing and hunting, and mining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Finance and insurance, and real estate and rental and leasing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Construction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Transportation and warehousing, and utilities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Public administration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cable-adjacent-vs.-inland-dc-tracts"/>
    <w:p>
      <w:pPr>
        <w:pStyle w:val="Heading2"/>
      </w:pPr>
      <w:r>
        <w:t xml:space="preserve">5. Cable-adjacent vs. inland DC tracts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right"/>
            </w:pPr>
            <w:r>
              <w:t xml:space="preserve">≤100 km from a cable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&gt;100 km from a cable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452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 centers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1,170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Median household income ($)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106,406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86,289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Median broadband (%)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95.2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93.9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Median DC count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</w:t>
            </w:r>
          </w:p>
        </w:tc>
      </w:tr>
    </w:tbl>
    <w:p>
      <w:pPr>
        <w:pStyle w:val="BodyText"/>
      </w:pPr>
      <w:r>
        <w:t xml:space="preserve">Inland DCs are roughly</w:t>
      </w:r>
      <w:r>
        <w:t xml:space="preserve"> </w:t>
      </w:r>
      <w:r>
        <w:rPr>
          <w:b/>
          <w:bCs/>
        </w:rPr>
        <w:t xml:space="preserve">3.7×</w:t>
      </w:r>
      <w:r>
        <w:t xml:space="preserve"> </w:t>
      </w:r>
      <w:r>
        <w:t xml:space="preserve">the cable-adjacent count. Coastal/cable</w:t>
      </w:r>
      <w:r>
        <w:t xml:space="preserve"> </w:t>
      </w:r>
      <w:r>
        <w:t xml:space="preserve">tracts skew even wealthier than inland DC tracts.</w:t>
      </w:r>
    </w:p>
    <w:p>
      <w:r>
        <w:pict>
          <v:rect style="width:0;height:1.5pt" o:hralign="center" o:hrstd="t" o:hr="t"/>
        </w:pict>
      </w:r>
    </w:p>
    <w:bookmarkEnd w:id="13"/>
    <w:bookmarkStart w:id="14" w:name="Xf4b7a16ceaaa2610083af437c96b71189d6211e"/>
    <w:p>
      <w:pPr>
        <w:pStyle w:val="Heading2"/>
      </w:pPr>
      <w:r>
        <w:t xml:space="preserve">6. Benefit dispersion (broadband subscribers as a benefit proxy)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Measure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Estimated broadband subscribers (DC states)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119,719,313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Tracts with subscriber data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81,839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Gini of subscribers across tracts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0.253</w:t>
            </w:r>
          </w:p>
        </w:tc>
      </w:tr>
      <w:tr>
        <w:tc>
          <w:tcPr/>
          <w:p>
            <w:pPr>
              <w:pStyle w:val="Compact"/>
            </w:pPr>
            <w:r>
              <w:t xml:space="preserve">HHI of subscribers across tracts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0.00001</w:t>
            </w:r>
          </w:p>
        </w:tc>
      </w:tr>
    </w:tbl>
    <w:p>
      <w:pPr>
        <w:pStyle w:val="BodyText"/>
      </w:pPr>
      <w:r>
        <w:t xml:space="preserve">Side-by-side concentration: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Series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HHI</w:t>
            </w:r>
          </w:p>
        </w:tc>
      </w:tr>
      <w:tr>
        <w:tc>
          <w:tcPr/>
          <w:p>
            <w:pPr>
              <w:pStyle w:val="Compact"/>
            </w:pPr>
            <w:r>
              <w:t xml:space="preserve">DCs across DC-hosting tracts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0.0069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Broadband subscribers across DC-state tracts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0.00001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Concentration ratio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~464× more concentrated for DCs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4"/>
    <w:bookmarkStart w:id="15" w:name="verdict"/>
    <w:p>
      <w:pPr>
        <w:pStyle w:val="Heading2"/>
      </w:pPr>
      <w:r>
        <w:t xml:space="preserve">7. Verdict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Element of the frame</w:t>
            </w:r>
          </w:p>
        </w:tc>
        <w:tc>
          <w:tcPr/>
          <w:p>
            <w:pPr>
              <w:pStyle w:val="Compact"/>
            </w:pPr>
            <w:r>
              <w:t xml:space="preserve">Holds?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Costs concentrated geographically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  <w:r>
              <w:t xml:space="preserve"> </w:t>
            </w:r>
            <w:r>
              <w:t xml:space="preserve">— top 6 tracts carry 15% of DCs; &lt;1% of host-state population lives in a DC tract; per-capita burden ~115× the average.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Driven by submarine cable infrastructure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No, broadly</w:t>
            </w:r>
            <w:r>
              <w:t xml:space="preserve"> </w:t>
            </w:r>
            <w:r>
              <w:t xml:space="preserve">— proximity test fails nationally; submarine cables matter for a coastal subset only. Terrestrial fiber, power, water, land, and tax incentives dominate.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Benefits dispersed among users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Yes</w:t>
            </w:r>
            <w:r>
              <w:t xml:space="preserve"> </w:t>
            </w:r>
            <w:r>
              <w:t xml:space="preserve">— broadband subscribers ~464× more dispersed (by HHI) than DCs.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Classic political failure mode (weak losers vs. diffuse winners)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No.</w:t>
            </w:r>
            <w:r>
              <w:t xml:space="preserve"> </w:t>
            </w:r>
            <w:r>
              <w:t xml:space="preserve">Host tracts skew wealthier, higher-income, higher-broadband than peers. The cost-bearing communities are affluent tech corridors with strong bargaining capacity — they tend to convert concentrated costs into concentrated</w:t>
            </w:r>
            <w:r>
              <w:t xml:space="preserve"> </w:t>
            </w:r>
            <w:r>
              <w:rPr>
                <w:i/>
                <w:iCs/>
              </w:rPr>
              <w:t xml:space="preserve">rents</w:t>
            </w:r>
            <w:r>
              <w:t xml:space="preserve"> </w:t>
            </w:r>
            <w:r>
              <w:t xml:space="preserve">(tax base, jobs, infrastructure concessions).</w:t>
            </w:r>
          </w:p>
        </w:tc>
      </w:tr>
    </w:tbl>
    <w:p>
      <w:pPr>
        <w:pStyle w:val="BodyText"/>
      </w:pPr>
      <w:r>
        <w:rPr>
          <w:b/>
          <w:bCs/>
        </w:rPr>
        <w:t xml:space="preserve">Bottom line.</w:t>
      </w:r>
      <w:r>
        <w:t xml:space="preserve"> </w:t>
      </w:r>
      <w:r>
        <w:t xml:space="preserve">The structural asymmetry that defines</w:t>
      </w:r>
      <w:r>
        <w:t xml:space="preserve"> </w:t>
      </w:r>
      <w:r>
        <w:t xml:space="preserve">“concentrated costs /</w:t>
      </w:r>
      <w:r>
        <w:t xml:space="preserve"> </w:t>
      </w:r>
      <w:r>
        <w:t xml:space="preserve">dispersed benefits”</w:t>
      </w:r>
      <w:r>
        <w:t xml:space="preserve"> </w:t>
      </w:r>
      <w:r>
        <w:t xml:space="preserve">is unambiguous in the data — DC siting is hyper-local</w:t>
      </w:r>
      <w:r>
        <w:t xml:space="preserve"> </w:t>
      </w:r>
      <w:r>
        <w:t xml:space="preserve">while benefits are continental. But the predicted political dynamic doesn’t</w:t>
      </w:r>
      <w:r>
        <w:t xml:space="preserve"> </w:t>
      </w:r>
      <w:r>
        <w:t xml:space="preserve">fit cleanly, because the loser side here is not weak. A more targeted test</w:t>
      </w:r>
      <w:r>
        <w:t xml:space="preserve"> </w:t>
      </w:r>
      <w:r>
        <w:t xml:space="preserve">would split host tracts into power-stressed exurban tracts (parts of</w:t>
      </w:r>
      <w:r>
        <w:t xml:space="preserve"> </w:t>
      </w:r>
      <w:r>
        <w:t xml:space="preserve">Loudoun’s edges, central Oregon, Iowa) and urban-suburban tech-corridor</w:t>
      </w:r>
      <w:r>
        <w:t xml:space="preserve"> </w:t>
      </w:r>
      <w:r>
        <w:t xml:space="preserve">tracts, and look at whether the</w:t>
      </w:r>
      <w:r>
        <w:t xml:space="preserve"> </w:t>
      </w:r>
      <w:r>
        <w:rPr>
          <w:i/>
          <w:iCs/>
        </w:rPr>
        <w:t xml:space="preserve">exurban</w:t>
      </w:r>
      <w:r>
        <w:t xml:space="preserve"> </w:t>
      </w:r>
      <w:r>
        <w:t xml:space="preserve">subset shows the weak-loser</w:t>
      </w:r>
      <w:r>
        <w:t xml:space="preserve"> </w:t>
      </w:r>
      <w:r>
        <w:t xml:space="preserve">pattern (lower income, slower broadband, higher poverty than its</w:t>
      </w:r>
      <w:r>
        <w:t xml:space="preserve"> </w:t>
      </w:r>
      <w:r>
        <w:t xml:space="preserve">neighbors).</w:t>
      </w:r>
    </w:p>
    <w:p>
      <w:r>
        <w:pict>
          <v:rect style="width:0;height:1.5pt" o:hralign="center" o:hrstd="t" o:hr="t"/>
        </w:pict>
      </w:r>
    </w:p>
    <w:bookmarkEnd w:id="15"/>
    <w:bookmarkStart w:id="16" w:name="caveats"/>
    <w:p>
      <w:pPr>
        <w:pStyle w:val="Heading2"/>
      </w:pPr>
      <w:r>
        <w:t xml:space="preserve">Caveats</w:t>
      </w:r>
    </w:p>
    <w:p>
      <w:pPr>
        <w:pStyle w:val="Compact"/>
        <w:numPr>
          <w:ilvl w:val="0"/>
          <w:numId w:val="1001"/>
        </w:numPr>
      </w:pPr>
      <w:r>
        <w:t xml:space="preserve">The ACS universe is the 46 DC-host states (already DC-heavy); excludes</w:t>
      </w:r>
      <w:r>
        <w:t xml:space="preserve"> </w:t>
      </w:r>
      <w:r>
        <w:t xml:space="preserve">states with no DCs in the sample.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data_center_census_tracts_2024</w:t>
      </w:r>
      <w:r>
        <w:t xml:space="preserve"> </w:t>
      </w:r>
      <w:r>
        <w:t xml:space="preserve">only contains tracts that host at least</w:t>
      </w:r>
      <w:r>
        <w:t xml:space="preserve"> </w:t>
      </w:r>
      <w:r>
        <w:t xml:space="preserve">one DC, by construction.</w:t>
      </w:r>
    </w:p>
    <w:p>
      <w:pPr>
        <w:pStyle w:val="Compact"/>
        <w:numPr>
          <w:ilvl w:val="0"/>
          <w:numId w:val="1001"/>
        </w:numPr>
      </w:pPr>
      <w:r>
        <w:t xml:space="preserve">Broadband-subscription rate is a coarse benefit proxy; cloud services</w:t>
      </w:r>
      <w:r>
        <w:t xml:space="preserve"> </w:t>
      </w:r>
      <w:r>
        <w:t xml:space="preserve">benefit any internet user globally, not just local subscribers.</w:t>
      </w:r>
    </w:p>
    <w:p>
      <w:pPr>
        <w:pStyle w:val="Compact"/>
        <w:numPr>
          <w:ilvl w:val="0"/>
          <w:numId w:val="1001"/>
        </w:numPr>
      </w:pPr>
      <w:r>
        <w:t xml:space="preserve">45 of 1,489 DCs use city-precision fallback coordinates, so a small share</w:t>
      </w:r>
      <w:r>
        <w:t xml:space="preserve"> </w:t>
      </w:r>
      <w:r>
        <w:t xml:space="preserve">of tract assignments are approximate.</w:t>
      </w:r>
    </w:p>
    <w:p>
      <w:pPr>
        <w:pStyle w:val="Compact"/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rStyle w:val="VerbatimChar"/>
        </w:rPr>
        <w:t xml:space="preserve">logical_dominance_ips</w:t>
      </w:r>
      <w:r>
        <w:t xml:space="preserve"> </w:t>
      </w:r>
      <w:r>
        <w:t xml:space="preserve">field in</w:t>
      </w:r>
      <w:r>
        <w:t xml:space="preserve"> </w:t>
      </w:r>
      <w:r>
        <w:rPr>
          <w:rStyle w:val="VerbatimChar"/>
        </w:rPr>
        <w:t xml:space="preserve">internet_city_dominance</w:t>
      </w:r>
      <w:r>
        <w:t xml:space="preserve"> </w:t>
      </w:r>
      <w:r>
        <w:t xml:space="preserve">measures</w:t>
      </w:r>
      <w:r>
        <w:t xml:space="preserve"> </w:t>
      </w:r>
      <w:r>
        <w:t xml:space="preserve">IP blocks routed/hosted at each city — a supply-side measure that</w:t>
      </w:r>
      <w:r>
        <w:t xml:space="preserve"> </w:t>
      </w:r>
      <w:r>
        <w:t xml:space="preserve">duplicates the DC signal, not a demand-side user-location measure. It</w:t>
      </w:r>
      <w:r>
        <w:t xml:space="preserve"> </w:t>
      </w:r>
      <w:r>
        <w:t xml:space="preserve">was excluded from the benefit-dispersion calculation for that reason.</w:t>
      </w:r>
    </w:p>
    <w:bookmarkEnd w:id="16"/>
    <w:bookmarkStart w:id="17" w:name="reproducible-scripts"/>
    <w:p>
      <w:pPr>
        <w:pStyle w:val="Heading2"/>
      </w:pPr>
      <w:r>
        <w:t xml:space="preserve">Reproducible scripts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load_postgis_internet_cables.py</w:t>
      </w:r>
      <w:r>
        <w:t xml:space="preserve"> </w:t>
      </w:r>
      <w:r>
        <w:t xml:space="preserve">— ingest cables/landings/cities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make_internet_cables_map.py</w:t>
      </w:r>
      <w:r>
        <w:t xml:space="preserve"> </w:t>
      </w:r>
      <w:r>
        <w:t xml:space="preserve">— render the combined Leaflet map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analyze_cables_concentration.py</w:t>
      </w:r>
      <w:r>
        <w:t xml:space="preserve"> </w:t>
      </w:r>
      <w:r>
        <w:t xml:space="preserve">— state-level + cable-proximity analysis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analyze_dc_tract_concentration.py</w:t>
      </w:r>
      <w:r>
        <w:t xml:space="preserve"> </w:t>
      </w:r>
      <w:r>
        <w:t xml:space="preserve">— tract-level analysis used here</w:t>
      </w:r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2026-05-17T16:23:00Z</dcterms:created>
  <dcterms:modified xsi:type="dcterms:W3CDTF">2026-05-17T16:23:00Z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