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67850838cdbed5b781e89fc228f7f3ef2b399cb"/>
    <w:p>
      <w:pPr>
        <w:pStyle w:val="Heading1"/>
      </w:pPr>
      <w:r>
        <w:t xml:space="preserve">US Data Centers — Demographic, Urban-Rural &amp; Energy Context Analysis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2026-05-18</w:t>
      </w:r>
    </w:p>
    <w:p>
      <w:pPr>
        <w:pStyle w:val="BodyText"/>
      </w:pPr>
      <w:r>
        <w:rPr>
          <w:b/>
          <w:bCs/>
        </w:rPr>
        <w:t xml:space="preserve">Notebook:</w:t>
      </w:r>
      <w:r>
        <w:t xml:space="preserve"> </w:t>
      </w:r>
      <w:hyperlink r:id="rId9">
        <w:r>
          <w:rPr>
            <w:rStyle w:val="Hyperlink"/>
          </w:rPr>
          <w:t xml:space="preserve">cluster_analysis.ipynb</w:t>
        </w:r>
      </w:hyperlink>
    </w:p>
    <w:p>
      <w:pPr>
        <w:pStyle w:val="BodyText"/>
      </w:pPr>
      <w:r>
        <w:rPr>
          <w:b/>
          <w:bCs/>
        </w:rPr>
        <w:t xml:space="preserve">Universe:</w:t>
      </w:r>
      <w:r>
        <w:t xml:space="preserve"> </w:t>
      </w:r>
      <w:r>
        <w:t xml:space="preserve">1,833 data centers in</w:t>
      </w:r>
      <w:r>
        <w:t xml:space="preserve"> </w:t>
      </w:r>
      <w:r>
        <w:rPr>
          <w:rStyle w:val="VerbatimChar"/>
        </w:rPr>
        <w:t xml:space="preserve">public.master_data_centers</w:t>
      </w:r>
      <w:r>
        <w:t xml:space="preserve">, joined to ACS-2024 demographics, USDA RUCA-2020 codes, USGS HUC8 watersheds, and EIA operating-generator capacity (50 km radius, latest period 2026-02, status=OP).</w:t>
      </w:r>
    </w:p>
    <w:p>
      <w:r>
        <w:pict>
          <v:rect style="width:0;height:1.5pt" o:hralign="center" o:hrstd="t" o:hr="t"/>
        </w:pict>
      </w:r>
    </w:p>
    <w:bookmarkStart w:id="10" w:name="headline-findings"/>
    <w:p>
      <w:pPr>
        <w:pStyle w:val="Heading2"/>
      </w:pPr>
      <w:r>
        <w:t xml:space="preserve">Headline findings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DC tracts are richer, more educated, and more diverse than the US average.</w:t>
      </w:r>
      <w:r>
        <w:t xml:space="preserve"> </w:t>
      </w:r>
      <w:r>
        <w:t xml:space="preserve">Median household income $103,623 vs. national $78,538 (+32%); 49% bachelor’s+ vs. 35% (+14 pp); poverty rate 7.2% vs. 12.4%. Non-Hispanic white share is</w:t>
      </w:r>
      <w:r>
        <w:t xml:space="preserve"> </w:t>
      </w:r>
      <w:r>
        <w:rPr>
          <w:i/>
          <w:iCs/>
        </w:rPr>
        <w:t xml:space="preserve">below</w:t>
      </w:r>
      <w:r>
        <w:t xml:space="preserve"> </w:t>
      </w:r>
      <w:r>
        <w:t xml:space="preserve">national (50% vs. 58%), driven by Asian-heavy (mean 13% vs. 6%) and Hispanic-significant tracts.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metro skew is more modest than expected: 1.11×.</w:t>
      </w:r>
      <w:r>
        <w:t xml:space="preserve"> </w:t>
      </w:r>
      <w:r>
        <w:t xml:space="preserve">89% of DCs sit in metropolitan tracts, but 80% of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US tracts are metropolitan — so DCs are only slightly more concentrated than the underlying population distribution would predict.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non-metro tail is overwhelmingly hyperscale and Pacific Northwest.</w:t>
      </w:r>
      <w:r>
        <w:t xml:space="preserve"> </w:t>
      </w:r>
      <w:r>
        <w:t xml:space="preserve">Of 190 DCs outside metropolitan tracts (RUCA 4–10), AWS owns 67, Meta 22, Microsoft 10, Google 4, Yahoo 2 — combined 55% of the non-metro footprint. Oregon (86) and Washington (40) alone hold 66% of non-metro DCs, anchored to the Columbia River hydropower corridor.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Clustered DCs are demographically distinct from isolated ones.</w:t>
      </w:r>
      <w:r>
        <w:t xml:space="preserve"> </w:t>
      </w:r>
      <w:r>
        <w:t xml:space="preserve">DCs in DBSCAN clusters (n=1,583) sit in tracts with $108K median income vs. $73K for isolated DCs (n=250) — a $35K gap. Clustered DCs are more educated (+18 pp bachelor’s), more diverse (–25 pp non-Hispanic white), and embedded in much denser energy infrastructure (89 vs. 40 generators within 50 km).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Microsoft co-locates with the largest US nuclear plant.</w:t>
      </w:r>
      <w:r>
        <w:t xml:space="preserve"> </w:t>
      </w:r>
      <w:r>
        <w:t xml:space="preserve">Microsoft’s Goodyear, AZ campus has 14.6 GW of generation within 50 km — including 4.2 GW from Palo Verde Nuclear, the largest in the US. Despite the campus being in a RUCA-2</w:t>
      </w:r>
      <w:r>
        <w:t xml:space="preserve"> </w:t>
      </w:r>
      <w:r>
        <w:t xml:space="preserve">“Metro high-commute”</w:t>
      </w:r>
      <w:r>
        <w:t xml:space="preserve"> </w:t>
      </w:r>
      <w:r>
        <w:t xml:space="preserve">tract (not strictly metro core), the surrounding grid is the densest by capacity in our analysis.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Extreme watershed concentration: half of all US DCs sit in just 15 of 2,139 HUC8 watersheds.</w:t>
      </w:r>
      <w:r>
        <w:t xml:space="preserve"> </w:t>
      </w:r>
      <w:r>
        <w:t xml:space="preserve">A single watershed — Middle Potomac-Catoctin (Loudoun County) — holds 235 DCs (12.8% of the US total). The top 2 (both DC-Alley watersheds) hold 18.9%; the top 10 hold 40%. Water stress in any one of these basins propagates to a huge share of national DC capacity.</w:t>
      </w:r>
    </w:p>
    <w:p>
      <w:r>
        <w:pict>
          <v:rect style="width:0;height:1.5pt" o:hralign="center" o:hrstd="t" o:hr="t"/>
        </w:pict>
      </w:r>
    </w:p>
    <w:bookmarkEnd w:id="10"/>
    <w:bookmarkStart w:id="11" w:name="dataset-coverage-and-joins"/>
    <w:p>
      <w:pPr>
        <w:pStyle w:val="Heading2"/>
      </w:pPr>
      <w:r>
        <w:t xml:space="preserve">Dataset coverage and joins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 table</w:t>
            </w:r>
          </w:p>
        </w:tc>
        <w:tc>
          <w:tcPr/>
          <w:p>
            <w:pPr>
              <w:pStyle w:val="Compact"/>
            </w:pPr>
            <w:r>
              <w:t xml:space="preserve">Rows</w:t>
            </w:r>
          </w:p>
        </w:tc>
        <w:tc>
          <w:tcPr/>
          <w:p>
            <w:pPr>
              <w:pStyle w:val="Compact"/>
            </w:pPr>
            <w:r>
              <w:t xml:space="preserve">Join key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master_data_centers</w:t>
            </w:r>
          </w:p>
        </w:tc>
        <w:tc>
          <w:tcPr/>
          <w:p>
            <w:pPr>
              <w:pStyle w:val="Compact"/>
            </w:pPr>
            <w:r>
              <w:t xml:space="preserve">1,833</w:t>
            </w:r>
          </w:p>
        </w:tc>
        <w:tc>
          <w:tcPr/>
          <w:p>
            <w:pPr>
              <w:pStyle w:val="Compact"/>
            </w:pPr>
            <w:r>
              <w:t xml:space="preserve">base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master_data_center_spatial_clusters</w:t>
            </w:r>
          </w:p>
        </w:tc>
        <w:tc>
          <w:tcPr/>
          <w:p>
            <w:pPr>
              <w:pStyle w:val="Compact"/>
            </w:pPr>
            <w:r>
              <w:t xml:space="preserve">1,831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master_id</w:t>
            </w:r>
          </w:p>
        </w:tc>
        <w:tc>
          <w:tcPr/>
          <w:p>
            <w:pPr>
              <w:pStyle w:val="Compact"/>
            </w:pPr>
            <w:r>
              <w:t xml:space="preserve">99.9%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_dc_census_tract_acs_2024</w:t>
            </w:r>
          </w:p>
        </w:tc>
        <w:tc>
          <w:tcPr/>
          <w:p>
            <w:pPr>
              <w:pStyle w:val="Compact"/>
            </w:pPr>
            <w:r>
              <w:t xml:space="preserve">~73,000 tracts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geoid</w:t>
            </w:r>
          </w:p>
        </w:tc>
        <w:tc>
          <w:tcPr/>
          <w:p>
            <w:pPr>
              <w:pStyle w:val="Compact"/>
            </w:pPr>
            <w:r>
              <w:t xml:space="preserve">1,807 matched (98.6%)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ruca_codes_2020_tract</w:t>
            </w:r>
          </w:p>
        </w:tc>
        <w:tc>
          <w:tcPr/>
          <w:p>
            <w:pPr>
              <w:pStyle w:val="Compact"/>
            </w:pPr>
            <w:r>
              <w:t xml:space="preserve">85,528 tracts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tract_fips_20 = geoid</w:t>
            </w:r>
          </w:p>
        </w:tc>
        <w:tc>
          <w:tcPr/>
          <w:p>
            <w:pPr>
              <w:pStyle w:val="Compact"/>
            </w:pPr>
            <w:r>
              <w:t xml:space="preserve">1,826 matched (99.6%)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watershed_huc8</w:t>
            </w:r>
          </w:p>
        </w:tc>
        <w:tc>
          <w:tcPr/>
          <w:p>
            <w:pPr>
              <w:pStyle w:val="Compact"/>
            </w:pPr>
            <w:r>
              <w:t xml:space="preserve">2,139 watersheds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ST_Contains(w.geom, m.geom)</w:t>
            </w:r>
          </w:p>
        </w:tc>
        <w:tc>
          <w:tcPr/>
          <w:p>
            <w:pPr>
              <w:pStyle w:val="Compact"/>
            </w:pPr>
            <w:r>
              <w:t xml:space="preserve">1,831 matched (99.9%)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energy_eia_operating_generator_capacity_flat</w:t>
            </w:r>
          </w:p>
        </w:tc>
        <w:tc>
          <w:tcPr/>
          <w:p>
            <w:pPr>
              <w:pStyle w:val="Compact"/>
            </w:pPr>
            <w:r>
              <w:t xml:space="preserve">4.7M rows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ST_DWithin(geom, 50km)</w:t>
            </w:r>
          </w:p>
        </w:tc>
        <w:tc>
          <w:tcPr/>
          <w:p>
            <w:pPr>
              <w:pStyle w:val="Compact"/>
            </w:pPr>
            <w:r>
              <w:t xml:space="preserve">1,831 DCs have ≥1 nearby gen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energy_eia_seds_flat</w:t>
            </w:r>
            <w:r>
              <w:t xml:space="preserve"> </w:t>
            </w:r>
            <w:r>
              <w:t xml:space="preserve">(annual, 1960–2024)</w:t>
            </w:r>
          </w:p>
        </w:tc>
        <w:tc>
          <w:tcPr/>
          <w:p>
            <w:pPr>
              <w:pStyle w:val="Compact"/>
            </w:pPr>
            <w:r>
              <w:t xml:space="preserve">2.57M rows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state_id</w:t>
            </w:r>
          </w:p>
        </w:tc>
        <w:tc>
          <w:tcPr/>
          <w:p>
            <w:pPr>
              <w:pStyle w:val="Compact"/>
            </w:pPr>
            <w:r>
              <w:t xml:space="preserve">Used in §7 for state electricity consumption (series</w:t>
            </w:r>
            <w:r>
              <w:t xml:space="preserve"> </w:t>
            </w:r>
            <w:r>
              <w:rPr>
                <w:rStyle w:val="VerbatimChar"/>
              </w:rPr>
              <w:t xml:space="preserve">ESTCB</w:t>
            </w:r>
            <w:r>
              <w:t xml:space="preserve">, 2024)</w:t>
            </w:r>
          </w:p>
        </w:tc>
      </w:tr>
    </w:tbl>
    <w:p>
      <w:pPr>
        <w:pStyle w:val="BodyText"/>
      </w:pPr>
      <w:r>
        <w:t xml:space="preserve">Energy aggregation uses period</w:t>
      </w:r>
      <w:r>
        <w:t xml:space="preserve"> </w:t>
      </w:r>
      <w:r>
        <w:rPr>
          <w:rStyle w:val="VerbatimChar"/>
        </w:rPr>
        <w:t xml:space="preserve">2026-02</w:t>
      </w:r>
      <w:r>
        <w:t xml:space="preserve"> </w:t>
      </w:r>
      <w:r>
        <w:t xml:space="preserve">only with</w:t>
      </w:r>
      <w:r>
        <w:t xml:space="preserve"> </w:t>
      </w:r>
      <w:r>
        <w:rPr>
          <w:rStyle w:val="VerbatimChar"/>
        </w:rPr>
        <w:t xml:space="preserve">status='OP'</w:t>
      </w:r>
      <w:r>
        <w:t xml:space="preserve">, summing</w:t>
      </w:r>
      <w:r>
        <w:t xml:space="preserve"> </w:t>
      </w:r>
      <w:r>
        <w:rPr>
          <w:rStyle w:val="VerbatimChar"/>
        </w:rPr>
        <w:t xml:space="preserve">nameplate_capacity_mw</w:t>
      </w:r>
      <w:r>
        <w:t xml:space="preserve"> </w:t>
      </w:r>
      <w:r>
        <w:t xml:space="preserve">for operating generators within 50 km of each DC. Note: EIA capacity columns were added to this table on 2026-05-17 — prior to that the</w:t>
      </w:r>
      <w:r>
        <w:t xml:space="preserve"> </w:t>
      </w:r>
      <w:r>
        <w:rPr>
          <w:rStyle w:val="VerbatimChar"/>
        </w:rPr>
        <w:t xml:space="preserve">_flat</w:t>
      </w:r>
      <w:r>
        <w:t xml:space="preserve"> </w:t>
      </w:r>
      <w:r>
        <w:t xml:space="preserve">table had no MW values despite its name. SEDS was backfilled 2026-05-18 (initial smoke-test had only 50 rows).</w:t>
      </w:r>
    </w:p>
    <w:p>
      <w:r>
        <w:pict>
          <v:rect style="width:0;height:1.5pt" o:hralign="center" o:hrstd="t" o:hr="t"/>
        </w:pict>
      </w:r>
    </w:p>
    <w:bookmarkEnd w:id="11"/>
    <w:bookmarkStart w:id="12" w:name="X359788a52fc660b8a502ef0306dab3ec9016cbd"/>
    <w:p>
      <w:pPr>
        <w:pStyle w:val="Heading2"/>
      </w:pPr>
      <w:r>
        <w:t xml:space="preserve">1. Demographic profile of DC tracts (n=1,807 with non-null ACS)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667"/>
        <w:gridCol w:w="1667"/>
        <w:gridCol w:w="1667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tract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tract (mean)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US avg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Δ mean vs. 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$103,623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$114,543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$78,538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+$36,005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Per-capita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$51,283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$55,725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$43,313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+$12,412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Poverty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−2.3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Unemployment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Bachelor’s+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+11.2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Broadband subscription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+4.5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white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58.4%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−7.4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Hispanic / Latino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Black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−1.5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Asian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+7.0 pp</w:t>
            </w:r>
          </w:p>
        </w:tc>
      </w:tr>
    </w:tbl>
    <w:p>
      <w:pPr>
        <w:pStyle w:val="BodyText"/>
      </w:pPr>
      <w:r>
        <w:rPr>
          <w:b/>
          <w:bCs/>
        </w:rPr>
        <w:t xml:space="preserve">Interpretation.</w:t>
      </w:r>
      <w:r>
        <w:t xml:space="preserve"> </w:t>
      </w:r>
      <w:r>
        <w:t xml:space="preserve">DC tracts skew toward high-income, highly-educated, technically connected, and racially diverse (specifically Asian-heavy). The race composition is interesting: DC tracts are</w:t>
      </w:r>
      <w:r>
        <w:t xml:space="preserve"> </w:t>
      </w:r>
      <w:r>
        <w:rPr>
          <w:i/>
          <w:iCs/>
        </w:rPr>
        <w:t xml:space="preserve">less</w:t>
      </w:r>
      <w:r>
        <w:t xml:space="preserve"> </w:t>
      </w:r>
      <w:r>
        <w:t xml:space="preserve">non-Hispanic white than national average, not more. This reflects DC siting in mixed-race coastal/exurban tech corridors (Bay Area, Northern Virginia, Seattle) rather than in homogeneous suburbs.</w:t>
      </w:r>
    </w:p>
    <w:p>
      <w:pPr>
        <w:pStyle w:val="BodyText"/>
      </w:pPr>
      <w:r>
        <w:rPr>
          <w:b/>
          <w:bCs/>
        </w:rPr>
        <w:t xml:space="preserve">Data quality note.</w:t>
      </w:r>
      <w:r>
        <w:t xml:space="preserve"> </w:t>
      </w:r>
      <w:r>
        <w:rPr>
          <w:rStyle w:val="VerbatimChar"/>
        </w:rPr>
        <w:t xml:space="preserve">avg_household_size</w:t>
      </w:r>
      <w:r>
        <w:t xml:space="preserve"> </w:t>
      </w:r>
      <w:r>
        <w:t xml:space="preserve">previously contained ACS sentinel-value pollution (−666,666,666) for 1,089 zero-population tracts in</w:t>
      </w:r>
      <w:r>
        <w:t xml:space="preserve"> </w:t>
      </w:r>
      <w:r>
        <w:rPr>
          <w:rStyle w:val="VerbatimChar"/>
        </w:rPr>
        <w:t xml:space="preserve">_dc_census_tract_acs_2024</w:t>
      </w:r>
      <w:r>
        <w:t xml:space="preserve"> </w:t>
      </w:r>
      <w:r>
        <w:t xml:space="preserve">(29 of which contained DCs) plus 16 rows in</w:t>
      </w:r>
      <w:r>
        <w:t xml:space="preserve"> </w:t>
      </w:r>
      <w:r>
        <w:rPr>
          <w:rStyle w:val="VerbatimChar"/>
        </w:rPr>
        <w:t xml:space="preserve">data_center_census_tracts_2024</w:t>
      </w:r>
      <w:r>
        <w:t xml:space="preserve">. As of 2026-05-18, those sentinels have been replaced with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 The column now has plausible ranges (min 1.00, max 9.33) and a usable mean.</w:t>
      </w:r>
    </w:p>
    <w:p>
      <w:r>
        <w:pict>
          <v:rect style="width:0;height:1.5pt" o:hralign="center" o:hrstd="t" o:hr="t"/>
        </w:pict>
      </w:r>
    </w:p>
    <w:bookmarkEnd w:id="12"/>
    <w:bookmarkStart w:id="13" w:name="geographic-concentration-top-15-states"/>
    <w:p>
      <w:pPr>
        <w:pStyle w:val="Heading2"/>
      </w:pPr>
      <w:r>
        <w:t xml:space="preserve">2. Geographic concentration (top 15 states)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13"/>
        <w:gridCol w:w="1218"/>
        <w:gridCol w:w="1218"/>
        <w:gridCol w:w="1218"/>
        <w:gridCol w:w="1218"/>
        <w:gridCol w:w="1218"/>
        <w:gridCol w:w="9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count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Total power_mw (where known)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HH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bachelor’s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% white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378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$141,250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42.5%</w:t>
            </w:r>
          </w:p>
        </w:tc>
        <w:tc>
          <w:tcPr/>
          <w:p>
            <w:pPr>
              <w:pStyle w:val="Compact"/>
            </w:pPr>
            <w:r>
              <w:t xml:space="preserve">Loudoun / DC-Alley dominance (20.6% of all US DCs)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$88,228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32.0%</w:t>
            </w:r>
          </w:p>
        </w:tc>
        <w:tc>
          <w:tcPr/>
          <w:p>
            <w:pPr>
              <w:pStyle w:val="Compact"/>
            </w:pPr>
            <w:r>
              <w:t xml:space="preserve">DFW + Austin + San Antonio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$164,928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22.4%</w:t>
            </w:r>
          </w:p>
        </w:tc>
        <w:tc>
          <w:tcPr/>
          <w:p>
            <w:pPr>
              <w:pStyle w:val="Compact"/>
            </w:pPr>
            <w:r>
              <w:t xml:space="preserve">Bay Area + LA basin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$72,719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63.2%</w:t>
            </w:r>
          </w:p>
        </w:tc>
        <w:tc>
          <w:tcPr/>
          <w:p>
            <w:pPr>
              <w:pStyle w:val="Compact"/>
            </w:pPr>
            <w:r>
              <w:t xml:space="preserve">Columbia River hydro corridor (rural)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$128,875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74.5%</w:t>
            </w:r>
          </w:p>
        </w:tc>
        <w:tc>
          <w:tcPr/>
          <w:p>
            <w:pPr>
              <w:pStyle w:val="Compact"/>
            </w:pPr>
            <w:r>
              <w:t xml:space="preserve">Columbus boom — fastest-rising market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$91,623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40.3%</w:t>
            </w:r>
          </w:p>
        </w:tc>
        <w:tc>
          <w:tcPr/>
          <w:p>
            <w:pPr>
              <w:pStyle w:val="Compact"/>
            </w:pPr>
            <w:r>
              <w:t xml:space="preserve">Quincy/Wenatchee + Seattle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$85,335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51.6%</w:t>
            </w:r>
          </w:p>
        </w:tc>
        <w:tc>
          <w:tcPr/>
          <w:p>
            <w:pPr>
              <w:pStyle w:val="Compact"/>
            </w:pPr>
            <w:r>
              <w:t xml:space="preserve">Phoenix/Goodyear hyperscale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$93,393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88.1%</w:t>
            </w:r>
          </w:p>
        </w:tc>
        <w:tc>
          <w:tcPr/>
          <w:p>
            <w:pPr>
              <w:pStyle w:val="Compact"/>
            </w:pPr>
            <w:r>
              <w:t xml:space="preserve">88% white (rural Midwest)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NJ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$147,321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32.9%</w:t>
            </w:r>
          </w:p>
        </w:tc>
        <w:tc>
          <w:tcPr/>
          <w:p>
            <w:pPr>
              <w:pStyle w:val="Compact"/>
            </w:pPr>
            <w:r>
              <w:t xml:space="preserve">NYC-metro carrier hotels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$96,191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52.0%</w:t>
            </w:r>
          </w:p>
        </w:tc>
        <w:tc>
          <w:tcPr/>
          <w:p>
            <w:pPr>
              <w:pStyle w:val="Compact"/>
            </w:pPr>
            <w:r>
              <w:t xml:space="preserve">Chicago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$101,176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31.6%</w:t>
            </w:r>
          </w:p>
        </w:tc>
        <w:tc>
          <w:tcPr/>
          <w:p>
            <w:pPr>
              <w:pStyle w:val="Compact"/>
            </w:pPr>
            <w:r>
              <w:t xml:space="preserve">Atlanta + high-power rural builds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$77,465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74.8%</w:t>
            </w:r>
          </w:p>
        </w:tc>
        <w:tc>
          <w:tcPr/>
          <w:p>
            <w:pPr>
              <w:pStyle w:val="Compact"/>
            </w:pPr>
            <w:r>
              <w:t xml:space="preserve">NYC + upstate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NV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$93,409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34.6%</w:t>
            </w:r>
          </w:p>
        </w:tc>
        <w:tc>
          <w:tcPr/>
          <w:p>
            <w:pPr>
              <w:pStyle w:val="Compact"/>
            </w:pPr>
            <w:r>
              <w:t xml:space="preserve">Reno + Las Vegas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54.8%</w:t>
            </w:r>
          </w:p>
        </w:tc>
        <w:tc>
          <w:tcPr/>
          <w:p>
            <w:pPr>
              <w:pStyle w:val="Compact"/>
            </w:pPr>
            <w:r>
              <w:t xml:space="preserve">Nashville + Memphis (newly visible after state backfill)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$82,708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59.6%</w:t>
            </w:r>
          </w:p>
        </w:tc>
        <w:tc>
          <w:tcPr/>
          <w:p>
            <w:pPr>
              <w:pStyle w:val="Compact"/>
            </w:pPr>
            <w:r>
              <w:t xml:space="preserve">Charlotte + Catawba (nuclear-adjacent)</w:t>
            </w:r>
          </w:p>
        </w:tc>
      </w:tr>
    </w:tbl>
    <w:p>
      <w:pPr>
        <w:pStyle w:val="BodyText"/>
      </w:pPr>
      <w:r>
        <w:rPr>
          <w:b/>
          <w:bCs/>
        </w:rPr>
        <w:t xml:space="preserve">Virginia alone holds 20.6% of all US DCs</w:t>
      </w:r>
      <w:r>
        <w:t xml:space="preserve"> </w:t>
      </w:r>
      <w:r>
        <w:t xml:space="preserve">(378 of 1,833), with the most affluent tract profile in the top 15 — a Loudoun County effect. The state backfill substantially elevated</w:t>
      </w:r>
      <w:r>
        <w:t xml:space="preserve"> </w:t>
      </w:r>
      <w:r>
        <w:rPr>
          <w:b/>
          <w:bCs/>
        </w:rPr>
        <w:t xml:space="preserve">Ohio (76 → 103)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Texas (135 → 162)</w:t>
      </w:r>
      <w:r>
        <w:t xml:space="preserve">, pushing TX into the #2 slot. The previously-uncounted</w:t>
      </w:r>
      <w:r>
        <w:t xml:space="preserve"> </w:t>
      </w:r>
      <w:r>
        <w:rPr>
          <w:b/>
          <w:bCs/>
        </w:rPr>
        <w:t xml:space="preserve">Tennessee (32) now appears in the top 15</w:t>
      </w:r>
      <w:r>
        <w:t xml:space="preserve">.</w:t>
      </w:r>
    </w:p>
    <w:p>
      <w:pPr>
        <w:pStyle w:val="BodyText"/>
      </w:pPr>
      <w:r>
        <w:t xml:space="preserve">Oregon and Washington tracts look notably different from the urban-heavy states (lower income, lower education, lower broadband, higher Hispanic share), reflecting their rural Columbia River siting.</w:t>
      </w:r>
    </w:p>
    <w:p>
      <w:r>
        <w:pict>
          <v:rect style="width:0;height:1.5pt" o:hralign="center" o:hrstd="t" o:hr="t"/>
        </w:pict>
      </w:r>
    </w:p>
    <w:bookmarkEnd w:id="13"/>
    <w:bookmarkStart w:id="14" w:name="spatially-clustered-dcs-vs.-isolated-dcs"/>
    <w:p>
      <w:pPr>
        <w:pStyle w:val="Heading2"/>
      </w:pPr>
      <w:r>
        <w:t xml:space="preserve">3. Spatially clustered DCs vs. isolated DCs</w:t>
      </w:r>
    </w:p>
    <w:p>
      <w:pPr>
        <w:pStyle w:val="FirstParagraph"/>
      </w:pPr>
      <w:r>
        <w:t xml:space="preserve">DBSCAN cluster assignment from</w:t>
      </w:r>
      <w:r>
        <w:t xml:space="preserve"> </w:t>
      </w:r>
      <w:r>
        <w:rPr>
          <w:rStyle w:val="VerbatimChar"/>
        </w:rPr>
        <w:t xml:space="preserve">master_data_center_spatial_clusters</w:t>
      </w:r>
      <w:r>
        <w:t xml:space="preserve"> </w:t>
      </w:r>
      <w:r>
        <w:t xml:space="preserve">(1,583 clustered, 250 isolated):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Isolated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 cluster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Δ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$73,500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$108,359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+$34,859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Bachelor’s+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+18.0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Poverty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−4.7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white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45.9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−25.1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EIA generators within 50 km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+49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EIA capacity within 50 km (MW)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2,176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+1,125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Reading.</w:t>
      </w:r>
      <w:r>
        <w:t xml:space="preserve"> </w:t>
      </w:r>
      <w:r>
        <w:t xml:space="preserve">A clustered data center sits, at the median, in a tract that is ~$35K richer, 18 pp more educated, and 25 pp less non-Hispanic white than an isolated one — and is surrounded by twice as much energy infrastructure (and 50% more generation capacity). The isolated set looks like rural / small-town America (whiter, poorer, less educated); the clustered set looks like coastal exurban tech corridors.</w:t>
      </w:r>
    </w:p>
    <w:p>
      <w:r>
        <w:pict>
          <v:rect style="width:0;height:1.5pt" o:hralign="center" o:hrstd="t" o:hr="t"/>
        </w:pict>
      </w:r>
    </w:p>
    <w:bookmarkEnd w:id="14"/>
    <w:bookmarkStart w:id="16" w:name="ruca-urban-rural-distribution"/>
    <w:p>
      <w:pPr>
        <w:pStyle w:val="Heading2"/>
      </w:pPr>
      <w:r>
        <w:t xml:space="preserve">4. RUCA (urban-rural) distribution</w:t>
      </w:r>
    </w:p>
    <w:p>
      <w:pPr>
        <w:pStyle w:val="FirstParagraph"/>
      </w:pPr>
      <w:r>
        <w:t xml:space="preserve">National baseline of all US tracts: 80% Metropolitan, 9% Micropolitan, 3% Small town, 8% Rural.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RUCA band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US tract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Over-index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Metropolitan (1–3)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1,636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1.11×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Micropolitan (4–6)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0.59×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Small town (7–9)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0.28×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Rural (10)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0.55×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Unknown / missed match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Reading.</w:t>
      </w:r>
      <w:r>
        <w:t xml:space="preserve"> </w:t>
      </w:r>
      <w:r>
        <w:t xml:space="preserve">The metro skew is real but only mild — 1.11×. The eye-catching pattern is that</w:t>
      </w:r>
      <w:r>
        <w:t xml:space="preserve"> </w:t>
      </w:r>
      <w:r>
        <w:rPr>
          <w:b/>
          <w:bCs/>
        </w:rPr>
        <w:t xml:space="preserve">rural tracts (RUCA 10) hold more DCs than micropolitan or small-town combined</w:t>
      </w:r>
      <w:r>
        <w:t xml:space="preserve">, because the hyperscale greenfield model deliberately bypasses small-city economies in favor of remote, cheap-power, low-population sites.</w:t>
      </w:r>
    </w:p>
    <w:bookmarkStart w:id="15" w:name="per-ruca-code-drilldown"/>
    <w:p>
      <w:pPr>
        <w:pStyle w:val="Heading3"/>
      </w:pPr>
      <w:r>
        <w:t xml:space="preserve">Per-RUCA-code drilldown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033"/>
        <w:gridCol w:w="1377"/>
        <w:gridCol w:w="1377"/>
        <w:gridCol w:w="1377"/>
        <w:gridCol w:w="137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RUCA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HH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pop density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EIA gens (50km)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Metro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1,425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$110,333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1,859 / sq mi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Metro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$105,404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Metro low-commute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$119,495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Micropolitan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$63,698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Micropolitan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$72,465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Micropolitan low-commute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$72,719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Small town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$87,522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2,336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Small town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$69,074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Rural area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$93,820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/>
          <w:bCs/>
        </w:rPr>
        <w:t xml:space="preserve">Two surprises:</w:t>
      </w:r>
    </w:p>
    <w:p>
      <w:pPr>
        <w:pStyle w:val="Compact"/>
        <w:numPr>
          <w:ilvl w:val="0"/>
          <w:numId w:val="1002"/>
        </w:numPr>
      </w:pPr>
      <w:r>
        <w:t xml:space="preserve">Rural DCs (RUCA 10) sit in tracts with $93.8K median income —</w:t>
      </w:r>
      <w:r>
        <w:t xml:space="preserve"> </w:t>
      </w:r>
      <w:r>
        <w:rPr>
          <w:i/>
          <w:iCs/>
        </w:rPr>
        <w:t xml:space="preserve">higher</w:t>
      </w:r>
      <w:r>
        <w:t xml:space="preserve"> </w:t>
      </w:r>
      <w:r>
        <w:t xml:space="preserve">than micropolitan DCs ($63.7K–$72.7K). The rural DC sites are not poor rural America; they are wealthy-by-rural-standards counties chosen for power and water access.</w:t>
      </w:r>
    </w:p>
    <w:p>
      <w:pPr>
        <w:pStyle w:val="Compact"/>
        <w:numPr>
          <w:ilvl w:val="0"/>
          <w:numId w:val="1002"/>
        </w:numPr>
      </w:pPr>
      <w:r>
        <w:t xml:space="preserve">Micropolitan-core DCs (RUCA 4) have the</w:t>
      </w:r>
      <w:r>
        <w:t xml:space="preserve"> </w:t>
      </w:r>
      <w:r>
        <w:rPr>
          <w:i/>
          <w:iCs/>
        </w:rPr>
        <w:t xml:space="preserve">lowest</w:t>
      </w:r>
      <w:r>
        <w:t xml:space="preserve"> </w:t>
      </w:r>
      <w:r>
        <w:t xml:space="preserve">median income at $63.7K — the closest thing to</w:t>
      </w:r>
      <w:r>
        <w:t xml:space="preserve"> </w:t>
      </w:r>
      <w:r>
        <w:t xml:space="preserve">“economic-development DC siting”</w:t>
      </w:r>
      <w:r>
        <w:t xml:space="preserve"> </w:t>
      </w:r>
      <w:r>
        <w:t xml:space="preserve">in the dataset.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9" w:name="non-metro-deep-dive-190-dcs-ruca-410"/>
    <w:p>
      <w:pPr>
        <w:pStyle w:val="Heading2"/>
      </w:pPr>
      <w:r>
        <w:t xml:space="preserve">5. Non-metro deep dive (190 DCs, RUCA 4–10)</w:t>
      </w:r>
    </w:p>
    <w:bookmarkStart w:id="17" w:name="operators"/>
    <w:p>
      <w:pPr>
        <w:pStyle w:val="Heading3"/>
      </w:pPr>
      <w:r>
        <w:t xml:space="preserve">Operators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Non-metro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Amazon Web Services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(null operator)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 (+ 2 as</w:t>
            </w:r>
            <w:r>
              <w:t xml:space="preserve"> </w:t>
            </w:r>
            <w:r>
              <w:t xml:space="preserve">“Meta, Inc.”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Rowan Green Data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NTT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Yahoo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Amazon AWS</w:t>
            </w:r>
            <w:r>
              <w:t xml:space="preserve"> </w:t>
            </w:r>
            <w:r>
              <w:rPr>
                <w:i/>
                <w:iCs/>
              </w:rPr>
              <w:t xml:space="preserve">(dupe)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five hyperscalers (AWS, Meta, Microsoft, Google, Yahoo) account for 105 of 190 non-metro DCs (55%).</w:t>
      </w:r>
      <w:r>
        <w:t xml:space="preserve"> </w:t>
      </w:r>
      <w:r>
        <w:t xml:space="preserve">If the 50 null-operator rows skew similarly hyperscale (likely — they’re disproportionately in OR/WA), the share is probably closer to 75%.</w:t>
      </w:r>
    </w:p>
    <w:bookmarkEnd w:id="17"/>
    <w:bookmarkStart w:id="18" w:name="states-post-backfill"/>
    <w:p>
      <w:pPr>
        <w:pStyle w:val="Heading3"/>
      </w:pPr>
      <w:r>
        <w:t xml:space="preserve">States (post-backfill)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Non-metro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Oregon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Washington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Texas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Mexico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North Carolina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Pennsylvania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Wisconsin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York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Tennessee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Georgia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</w:tbl>
    <w:p>
      <w:pPr>
        <w:pStyle w:val="BodyText"/>
      </w:pPr>
      <w:r>
        <w:rPr>
          <w:b/>
          <w:bCs/>
        </w:rPr>
        <w:t xml:space="preserve">Oregon + Washington = 126 (66%) of all non-metro DCs.</w:t>
      </w:r>
      <w:r>
        <w:t xml:space="preserve"> </w:t>
      </w:r>
      <w:r>
        <w:t xml:space="preserve">This is the Columbia River basin: Prineville / Hermiston / Boardman / The Dalles (OR) and Quincy / East Wenatchee / Moses Lake (WA). The pull is hydroelectric power (cheap, low-carbon, abundant) and cool dry climate (free-cooling).</w:t>
      </w:r>
    </w:p>
    <w:p>
      <w:pPr>
        <w:pStyle w:val="BodyText"/>
      </w:pPr>
      <w:r>
        <w:t xml:space="preserve">The state backfill clarified the rest of the non-metro tail:</w:t>
      </w:r>
      <w:r>
        <w:t xml:space="preserve"> </w:t>
      </w:r>
      <w:r>
        <w:rPr>
          <w:b/>
          <w:bCs/>
        </w:rPr>
        <w:t xml:space="preserve">Texas (9)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Pennsylvania (5)</w:t>
      </w:r>
      <w:r>
        <w:t xml:space="preserve"> </w:t>
      </w:r>
      <w:r>
        <w:t xml:space="preserve">were previously hidden in the null bucket. These likely represent shale-gas-adjacent builds (Permian and Marcellus respectively).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1" w:name="Xc37f38e2e2898f92b4d814e7286ce17ccd96e56"/>
    <w:p>
      <w:pPr>
        <w:pStyle w:val="Heading2"/>
      </w:pPr>
      <w:r>
        <w:t xml:space="preserve">6. Energy footprint by operator (using EIA capacity within 50 km)</w:t>
      </w:r>
    </w:p>
    <w:p>
      <w:pPr>
        <w:pStyle w:val="FirstParagraph"/>
      </w:pPr>
      <w:r>
        <w:t xml:space="preserve">Aggregated across DCs in RUCA 2–10 (i.e. anything outside dense metro core, n=401):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09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Total nearby capacity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per site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Hydro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Nuclear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NG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Solar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Wind (GW)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(Unknown)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Yahoo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</w:t>
            </w:r>
          </w:p>
        </w:tc>
      </w:tr>
    </w:tbl>
    <w:p>
      <w:pPr>
        <w:pStyle w:val="BodyText"/>
      </w:pPr>
      <w:r>
        <w:rPr>
          <w:b/>
          <w:bCs/>
        </w:rPr>
        <w:t xml:space="preserve">Distinct hyperscaler strategies, visible in the fuel mix: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AWS</w:t>
      </w:r>
      <w:r>
        <w:t xml:space="preserve"> </w:t>
      </w:r>
      <w:r>
        <w:t xml:space="preserve">has aggregated 114 GW of</w:t>
      </w:r>
      <w:r>
        <w:t xml:space="preserve"> </w:t>
      </w:r>
      <w:r>
        <w:rPr>
          <w:i/>
          <w:iCs/>
        </w:rPr>
        <w:t xml:space="preserve">wind</w:t>
      </w:r>
      <w:r>
        <w:t xml:space="preserve"> </w:t>
      </w:r>
      <w:r>
        <w:t xml:space="preserve">exposure across its 93 sites — by far the most renewable-coupled portfolio. Also heavy hydro (66 GW) from its OR/WA footprint and 201 GW of natural gas as baseline.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</w:t>
      </w:r>
      <w:r>
        <w:t xml:space="preserve"> </w:t>
      </w:r>
      <w:r>
        <w:t xml:space="preserve">has the highest</w:t>
      </w:r>
      <w:r>
        <w:t xml:space="preserve"> </w:t>
      </w:r>
      <w:r>
        <w:rPr>
          <w:i/>
          <w:iCs/>
        </w:rPr>
        <w:t xml:space="preserve">nuclear</w:t>
      </w:r>
      <w:r>
        <w:t xml:space="preserve"> </w:t>
      </w:r>
      <w:r>
        <w:t xml:space="preserve">exposure (12.6 GW) — almost entirely from its Goodyear, AZ campuses near Palo Verde Nuclear.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Meta</w:t>
      </w:r>
      <w:r>
        <w:t xml:space="preserve"> </w:t>
      </w:r>
      <w:r>
        <w:t xml:space="preserve">has the most</w:t>
      </w:r>
      <w:r>
        <w:t xml:space="preserve"> </w:t>
      </w:r>
      <w:r>
        <w:rPr>
          <w:i/>
          <w:iCs/>
        </w:rPr>
        <w:t xml:space="preserve">solar</w:t>
      </w:r>
      <w:r>
        <w:t xml:space="preserve"> </w:t>
      </w:r>
      <w:r>
        <w:t xml:space="preserve">(16 GW) among the named hyperscalers, but minimal nuclear or wind — consistent with its New Mexico (Los Lunas) and Iowa builds.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Google</w:t>
      </w:r>
      <w:r>
        <w:t xml:space="preserve"> </w:t>
      </w:r>
      <w:r>
        <w:t xml:space="preserve">is split — moderate hydro and natural gas, modest renewables.</w:t>
      </w:r>
    </w:p>
    <w:bookmarkStart w:id="20" w:name="X8f7f0852213779f229e28cb3132040f7fa58f64"/>
    <w:p>
      <w:pPr>
        <w:pStyle w:val="Heading3"/>
      </w:pPr>
      <w:r>
        <w:t xml:space="preserve">Largest non-metro grid neighborhoods (top sites by surrounding capacity)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DC</w:t>
            </w:r>
          </w:p>
        </w:tc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Nearby capacity</w:t>
            </w:r>
          </w:p>
        </w:tc>
        <w:tc>
          <w:tcPr/>
          <w:p>
            <w:pPr>
              <w:pStyle w:val="Compact"/>
            </w:pPr>
            <w:r>
              <w:t xml:space="preserve">Fuel highlight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PHX70 / PHX-10 / PHX-11</w:t>
            </w:r>
          </w:p>
        </w:tc>
        <w:tc>
          <w:tcPr/>
          <w:p>
            <w:pPr>
              <w:pStyle w:val="Compact"/>
            </w:pPr>
            <w:r>
              <w:t xml:space="preserve">Microsoft (Azure)</w:t>
            </w:r>
          </w:p>
        </w:tc>
        <w:tc>
          <w:tcPr/>
          <w:p>
            <w:pPr>
              <w:pStyle w:val="Compact"/>
            </w:pPr>
            <w:r>
              <w:t xml:space="preserve">Goodyear, AZ (RUCA 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14.0–14.6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4.2 GW nuclear (Palo Verde)</w:t>
            </w:r>
            <w:r>
              <w:t xml:space="preserve"> </w:t>
            </w:r>
            <w:r>
              <w:t xml:space="preserve">+ 6.4 GW gas + 2.2 GW solar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Stream PHX-1</w:t>
            </w:r>
          </w:p>
        </w:tc>
        <w:tc>
          <w:tcPr/>
          <w:p>
            <w:pPr>
              <w:pStyle w:val="Compact"/>
            </w:pPr>
            <w:r>
              <w:t xml:space="preserve">Stream Data Centers</w:t>
            </w:r>
          </w:p>
        </w:tc>
        <w:tc>
          <w:tcPr/>
          <w:p>
            <w:pPr>
              <w:pStyle w:val="Compact"/>
            </w:pPr>
            <w:r>
              <w:t xml:space="preserve">Goodyear, 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13.4 GW</w:t>
            </w:r>
          </w:p>
        </w:tc>
        <w:tc>
          <w:tcPr/>
          <w:p>
            <w:pPr>
              <w:pStyle w:val="Compact"/>
            </w:pPr>
            <w:r>
              <w:t xml:space="preserve">Same Palo Verde / gas mix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 Charlotte Campus</w:t>
            </w:r>
          </w:p>
        </w:tc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Kings Mountain, NC (RUCA 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12.9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4.9 GW nuclear</w:t>
            </w:r>
            <w:r>
              <w:t xml:space="preserve"> </w:t>
            </w:r>
            <w:r>
              <w:t xml:space="preserve">(Catawba) + 5.5 GW gas + 1.5 GW coal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Apple Maiden</w:t>
            </w:r>
          </w:p>
        </w:tc>
        <w:tc>
          <w:tcPr/>
          <w:p>
            <w:pPr>
              <w:pStyle w:val="Compact"/>
            </w:pPr>
            <w:r>
              <w:t xml:space="preserve">Apple</w:t>
            </w:r>
          </w:p>
        </w:tc>
        <w:tc>
          <w:tcPr/>
          <w:p>
            <w:pPr>
              <w:pStyle w:val="Compact"/>
            </w:pPr>
            <w:r>
              <w:t xml:space="preserve">Maiden, NC (RUCA 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9.1 GW</w:t>
            </w:r>
          </w:p>
        </w:tc>
        <w:tc>
          <w:tcPr/>
          <w:p>
            <w:pPr>
              <w:pStyle w:val="Compact"/>
            </w:pPr>
            <w:r>
              <w:t xml:space="preserve">2.4 GW nuclear + 4.6 GW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Percheron DC</w:t>
            </w:r>
          </w:p>
        </w:tc>
        <w:tc>
          <w:tcPr/>
          <w:p>
            <w:pPr>
              <w:pStyle w:val="Compact"/>
            </w:pPr>
            <w:r>
              <w:t xml:space="preserve">Rowan Green Data</w:t>
            </w:r>
          </w:p>
        </w:tc>
        <w:tc>
          <w:tcPr/>
          <w:p>
            <w:pPr>
              <w:pStyle w:val="Compact"/>
            </w:pPr>
            <w:r>
              <w:t xml:space="preserve">(Texas, RUCA 10)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3.0 GW wind</w:t>
            </w:r>
            <w:r>
              <w:t xml:space="preserve"> </w:t>
            </w:r>
            <w:r>
              <w:t xml:space="preserve">+ 0.9 GW hydro + 2.4 GW gas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2" w:name="X25c861e35d61fb33c752acb77c508813c3f91b4"/>
    <w:p>
      <w:pPr>
        <w:pStyle w:val="Heading2"/>
      </w:pPr>
      <w:r>
        <w:t xml:space="preserve">7. State grid context — how DC-saturated is each top state?</w:t>
      </w:r>
    </w:p>
    <w:p>
      <w:pPr>
        <w:pStyle w:val="FirstParagraph"/>
      </w:pPr>
      <w:r>
        <w:t xml:space="preserve">Section 6 shows DC-adjacent capacity in absolute MW, which is hard to interpret without knowing the size of the state grid. Using OGC for state-total generating capacity (period</w:t>
      </w:r>
      <w:r>
        <w:t xml:space="preserve"> </w:t>
      </w:r>
      <w:r>
        <w:rPr>
          <w:rStyle w:val="VerbatimChar"/>
        </w:rPr>
        <w:t xml:space="preserve">2026-02</w:t>
      </w:r>
      <w:r>
        <w:t xml:space="preserve">, status</w:t>
      </w:r>
      <w:r>
        <w:t xml:space="preserve"> </w:t>
      </w:r>
      <w:r>
        <w:rPr>
          <w:rStyle w:val="VerbatimChar"/>
        </w:rPr>
        <w:t xml:space="preserve">OP</w:t>
      </w:r>
      <w:r>
        <w:t xml:space="preserve">) and SEDS series</w:t>
      </w:r>
      <w:r>
        <w:t xml:space="preserve"> </w:t>
      </w:r>
      <w:r>
        <w:rPr>
          <w:rStyle w:val="VerbatimChar"/>
        </w:rPr>
        <w:t xml:space="preserve">ESTCB</w:t>
      </w:r>
      <w:r>
        <w:t xml:space="preserve"> </w:t>
      </w:r>
      <w:r>
        <w:t xml:space="preserve">for 2024 in-state electricity consumption, we can express each state’s DC footprint as a</w:t>
      </w:r>
      <w:r>
        <w:t xml:space="preserve"> </w:t>
      </w:r>
      <w:r>
        <w:rPr>
          <w:b/>
          <w:bCs/>
        </w:rPr>
        <w:t xml:space="preserve">share of its own grid</w:t>
      </w:r>
      <w:r>
        <w:t xml:space="preserve">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“DC-adjacent capacity”</w:t>
      </w:r>
      <w:r>
        <w:t xml:space="preserve"> </w:t>
      </w:r>
      <w:r>
        <w:t xml:space="preserve">column sums distinct in-state generators (i.e., no double-counting) whose 50 km neighborhood includes at least one in-state data center.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1377"/>
        <w:gridCol w:w="1377"/>
        <w:gridCol w:w="1377"/>
        <w:gridCol w:w="1377"/>
        <w:gridCol w:w="13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State grid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State elec. consumption (TWh, 2024)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DC-adjacent capacity (GW)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% of state capacity within 50 km of a 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138.0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505.3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105.1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245.6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11.7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68%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153.7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NJ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NV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75%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16.4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70%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136.9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45%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DC-saturation reordering.</w:t>
      </w:r>
      <w:r>
        <w:t xml:space="preserve"> </w:t>
      </w:r>
      <w:r>
        <w:t xml:space="preserve">Virginia leads in raw DC count (378), but four states have grids where</w:t>
      </w:r>
      <w:r>
        <w:t xml:space="preserve"> </w:t>
      </w:r>
      <w:r>
        <w:rPr>
          <w:i/>
          <w:iCs/>
        </w:rPr>
        <w:t xml:space="preserve">more than two-thirds</w:t>
      </w:r>
      <w:r>
        <w:t xml:space="preserve"> </w:t>
      </w:r>
      <w:r>
        <w:t xml:space="preserve">of all in-state generating capacity sits within 50 km of a data center: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New Jersey — 83%.</w:t>
      </w:r>
      <w:r>
        <w:t xml:space="preserve"> </w:t>
      </w:r>
      <w:r>
        <w:t xml:space="preserve">Effectively the entire state’s electrical economy is DC-adjacent. NJ’s 62 DCs are NYC-metro carrier hotels concentrated in a small geographic footprint relative to a small state grid (17.8 GW).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Nevada — 75%.</w:t>
      </w:r>
      <w:r>
        <w:t xml:space="preserve"> </w:t>
      </w:r>
      <w:r>
        <w:t xml:space="preserve">Las Vegas and Reno DCs co-locate with the gas-and-solar generation that serves Las Vegas urbanization. NV has a small grid (18.7 GW) and most of it serves the same two metros.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Tennessee — 70%.</w:t>
      </w:r>
      <w:r>
        <w:t xml:space="preserve"> </w:t>
      </w:r>
      <w:r>
        <w:t xml:space="preserve">Nashville + Memphis DCs sit near TVA’s central generation belt.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Oregon — 68%.</w:t>
      </w:r>
      <w:r>
        <w:t xml:space="preserve"> </w:t>
      </w:r>
      <w:r>
        <w:t xml:space="preserve">Even though OR’s DC cluster is mostly non-metro (Boardman / Hermiston / The Dalles), the Columbia hydro corridor serving them accounts for two-thirds of OR’s 17.2 GW grid. This is the only state where the saturation comes from rural hyperscale builds rather than urban carrier hotels.</w:t>
      </w:r>
    </w:p>
    <w:p>
      <w:pPr>
        <w:pStyle w:val="FirstParagraph"/>
      </w:pPr>
      <w:r>
        <w:rPr>
          <w:b/>
          <w:bCs/>
        </w:rPr>
        <w:t xml:space="preserve">The opposite end.</w:t>
      </w:r>
      <w:r>
        <w:t xml:space="preserve"> </w:t>
      </w:r>
      <w:r>
        <w:rPr>
          <w:b/>
          <w:bCs/>
        </w:rPr>
        <w:t xml:space="preserve">Iowa (20%)</w:t>
      </w:r>
      <w:r>
        <w:t xml:space="preserve"> </w:t>
      </w:r>
      <w:r>
        <w:t xml:space="preserve">has 65 DCs but they all cluster around Council Bluffs / Des Moines, leaving the rural wind belt that dominates IA’s grid unrelated to DC siting.</w:t>
      </w:r>
      <w:r>
        <w:t xml:space="preserve"> </w:t>
      </w:r>
      <w:r>
        <w:rPr>
          <w:b/>
          <w:bCs/>
        </w:rPr>
        <w:t xml:space="preserve">Washington (27%)</w:t>
      </w:r>
      <w:r>
        <w:t xml:space="preserve"> </w:t>
      </w:r>
      <w:r>
        <w:t xml:space="preserve">is similar — the Quincy hyperscale cluster is small relative to WA’s Columbia hydro and Puget-area generation.</w:t>
      </w:r>
    </w:p>
    <w:p>
      <w:pPr>
        <w:pStyle w:val="BodyText"/>
      </w:pPr>
      <w:r>
        <w:rPr>
          <w:b/>
          <w:bCs/>
        </w:rPr>
        <w:t xml:space="preserve">Why the proportional view matters.</w:t>
      </w:r>
      <w:r>
        <w:t xml:space="preserve"> </w:t>
      </w:r>
      <w:r>
        <w:t xml:space="preserve">A 1 GW DC load lands very differently on the NJ grid (5.6% of total capacity) than on the TX grid (0.5%). Reliability, transmission-queue interconnection waits, and political pushback all scale with the proportional draw, not the absolute MW. By that yardstick, the canonical</w:t>
      </w:r>
      <w:r>
        <w:t xml:space="preserve"> </w:t>
      </w:r>
      <w:r>
        <w:t xml:space="preserve">“VA dominates US DCs”</w:t>
      </w:r>
      <w:r>
        <w:t xml:space="preserve"> </w:t>
      </w:r>
      <w:r>
        <w:t xml:space="preserve">story is incomplete — VA, NJ, OR, NV, TN, NY, and AZ are the states where the DC industry is</w:t>
      </w:r>
      <w:r>
        <w:t xml:space="preserve"> </w:t>
      </w:r>
      <w:r>
        <w:rPr>
          <w:i/>
          <w:iCs/>
        </w:rPr>
        <w:t xml:space="preserve">structurally entangled</w:t>
      </w:r>
      <w:r>
        <w:t xml:space="preserve"> </w:t>
      </w:r>
      <w:r>
        <w:t xml:space="preserve">with the grid, and where any large new build runs into capacity-share constraints first.</w:t>
      </w:r>
    </w:p>
    <w:p>
      <w:r>
        <w:pict>
          <v:rect style="width:0;height:1.5pt" o:hralign="center" o:hrstd="t" o:hr="t"/>
        </w:pict>
      </w:r>
    </w:p>
    <w:bookmarkEnd w:id="22"/>
    <w:bookmarkStart w:id="28" w:name="watershed-huc8-concentration"/>
    <w:p>
      <w:pPr>
        <w:pStyle w:val="Heading2"/>
      </w:pPr>
      <w:r>
        <w:t xml:space="preserve">8. Watershed (HUC8) concentration</w:t>
      </w:r>
    </w:p>
    <w:p>
      <w:pPr>
        <w:pStyle w:val="FirstParagraph"/>
      </w:pPr>
      <w:r>
        <w:t xml:space="preserve">Each DC sits in exactly one USGS HUC8 watershed (8-digit hydrologic unit, subbasin scale, median ~3,000 sq km). Cooling-water draw and wastewater discharge happen at watershed scale, not state scale — a single stressed basin can cap an entire DC corridor regardless of how big the state’s overall water budget is.</w:t>
      </w:r>
    </w:p>
    <w:bookmarkStart w:id="23" w:name="where-the-1831-matched-dcs-land"/>
    <w:p>
      <w:pPr>
        <w:pStyle w:val="Heading3"/>
      </w:pPr>
      <w:r>
        <w:t xml:space="preserve">Where the 1,831 matched DCs land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257 distinct HUC8s</w:t>
      </w:r>
      <w:r>
        <w:t xml:space="preserve"> </w:t>
      </w:r>
      <w:r>
        <w:t xml:space="preserve">hold at least one DC — that’s only</w:t>
      </w:r>
      <w:r>
        <w:t xml:space="preserve"> </w:t>
      </w:r>
      <w:r>
        <w:rPr>
          <w:b/>
          <w:bCs/>
        </w:rPr>
        <w:t xml:space="preserve">12% of the 2,139 US watersheds</w:t>
      </w:r>
      <w:r>
        <w:t xml:space="preserve"> </w:t>
      </w:r>
      <w:r>
        <w:t xml:space="preserve">(the other 88% have zero data centers).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The top 1 watershed alone (Middle Potomac-Catoctin) holds 235 DCs</w:t>
      </w:r>
      <w:r>
        <w:t xml:space="preserve"> </w:t>
      </w:r>
      <w:r>
        <w:t xml:space="preserve">— 12.8% of the entire US data-center footprint.</w:t>
      </w:r>
    </w:p>
    <w:p>
      <w:pPr>
        <w:pStyle w:val="Compact"/>
        <w:numPr>
          <w:ilvl w:val="0"/>
          <w:numId w:val="1005"/>
        </w:numPr>
      </w:pPr>
      <w:r>
        <w:t xml:space="preserve">DC concentration is much more extreme at the watershed level than at the state level. Virginia has 20.6% of US DCs; the single Loudoun watershed holds 12.8%.</w:t>
      </w:r>
    </w:p>
    <w:bookmarkEnd w:id="23"/>
    <w:bookmarkStart w:id="24" w:name="cumulative-concentration"/>
    <w:p>
      <w:pPr>
        <w:pStyle w:val="Heading3"/>
      </w:pPr>
      <w:r>
        <w:t xml:space="preserve">Cumulative concentration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Top N watersheds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Share of all US DCs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18.9%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736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40.2%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887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48.4%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1,012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55.3%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1,186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64.8%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1,380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75.4%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1,611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88.0%</w:t>
            </w:r>
          </w:p>
        </w:tc>
      </w:tr>
    </w:tbl>
    <w:p>
      <w:pPr>
        <w:pStyle w:val="BodyText"/>
      </w:pPr>
      <w:r>
        <w:rPr>
          <w:b/>
          <w:bCs/>
        </w:rPr>
        <w:t xml:space="preserve">Half of all US data centers live in just 15 watersheds.</w:t>
      </w:r>
      <w:r>
        <w:t xml:space="preserve"> </w:t>
      </w:r>
      <w:r>
        <w:t xml:space="preserve">Three-quarters in 50. Water stress, drought policy, or thermal-discharge limits in any one of these basins propagates to a large share of the national footprint.</w:t>
      </w:r>
    </w:p>
    <w:bookmarkEnd w:id="24"/>
    <w:bookmarkStart w:id="25" w:name="top-15-watersheds-by-dc-count"/>
    <w:p>
      <w:pPr>
        <w:pStyle w:val="Heading3"/>
      </w:pPr>
      <w:r>
        <w:t xml:space="preserve">Top 15 watersheds by DC count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HUC8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</w:pPr>
            <w:r>
              <w:t xml:space="preserve">Cluster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02070008</w:t>
            </w:r>
          </w:p>
        </w:tc>
        <w:tc>
          <w:tcPr/>
          <w:p>
            <w:pPr>
              <w:pStyle w:val="Compact"/>
            </w:pPr>
            <w:r>
              <w:t xml:space="preserve">Middle Potomac-Catoctin</w:t>
            </w:r>
          </w:p>
        </w:tc>
        <w:tc>
          <w:tcPr/>
          <w:p>
            <w:pPr>
              <w:pStyle w:val="Compact"/>
            </w:pPr>
            <w:r>
              <w:t xml:space="preserve">DC, MD, VA, WV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235</w:t>
            </w:r>
          </w:p>
        </w:tc>
        <w:tc>
          <w:tcPr/>
          <w:p>
            <w:pPr>
              <w:pStyle w:val="Compact"/>
            </w:pPr>
            <w:r>
              <w:t xml:space="preserve">Loudoun / Ashburn (DC-Alley)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02070010</w:t>
            </w:r>
          </w:p>
        </w:tc>
        <w:tc>
          <w:tcPr/>
          <w:p>
            <w:pPr>
              <w:pStyle w:val="Compact"/>
            </w:pPr>
            <w:r>
              <w:t xml:space="preserve">Middle Potomac-Anacostia-Occoquan</w:t>
            </w:r>
          </w:p>
        </w:tc>
        <w:tc>
          <w:tcPr/>
          <w:p>
            <w:pPr>
              <w:pStyle w:val="Compact"/>
            </w:pPr>
            <w:r>
              <w:t xml:space="preserve">DC, MD, VA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t xml:space="preserve">Fairfax + inner Loudoun + 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18050003</w:t>
            </w:r>
          </w:p>
        </w:tc>
        <w:tc>
          <w:tcPr/>
          <w:p>
            <w:pPr>
              <w:pStyle w:val="Compact"/>
            </w:pPr>
            <w:r>
              <w:t xml:space="preserve">Coyote</w:t>
            </w:r>
          </w:p>
        </w:tc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t xml:space="preserve">Silicon Valley / San Jose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05060001</w:t>
            </w:r>
          </w:p>
        </w:tc>
        <w:tc>
          <w:tcPr/>
          <w:p>
            <w:pPr>
              <w:pStyle w:val="Compact"/>
            </w:pPr>
            <w:r>
              <w:t xml:space="preserve">Upper Scioto</w:t>
            </w:r>
          </w:p>
        </w:tc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t xml:space="preserve">Columbus (fastest-growing market)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17070101</w:t>
            </w:r>
          </w:p>
        </w:tc>
        <w:tc>
          <w:tcPr/>
          <w:p>
            <w:pPr>
              <w:pStyle w:val="Compact"/>
            </w:pPr>
            <w:r>
              <w:t xml:space="preserve">Middle Columbia-Lake Wallula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t xml:space="preserve">Boardman / Hermiston (hyperscale hydro)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17020015</w:t>
            </w:r>
          </w:p>
        </w:tc>
        <w:tc>
          <w:tcPr/>
          <w:p>
            <w:pPr>
              <w:pStyle w:val="Compact"/>
            </w:pPr>
            <w:r>
              <w:t xml:space="preserve">Lower Crab</w:t>
            </w:r>
          </w:p>
        </w:tc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Quincy / Moses Lake (hyperscale hydro)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17090010</w:t>
            </w:r>
          </w:p>
        </w:tc>
        <w:tc>
          <w:tcPr/>
          <w:p>
            <w:pPr>
              <w:pStyle w:val="Compact"/>
            </w:pPr>
            <w:r>
              <w:t xml:space="preserve">Tualatin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t xml:space="preserve">Hillsboro (Intel / Google)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12030105</w:t>
            </w:r>
          </w:p>
        </w:tc>
        <w:tc>
          <w:tcPr/>
          <w:p>
            <w:pPr>
              <w:pStyle w:val="Compact"/>
            </w:pPr>
            <w:r>
              <w:t xml:space="preserve">Upper Trinity</w:t>
            </w:r>
          </w:p>
        </w:tc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t xml:space="preserve">DFW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10230006</w:t>
            </w:r>
          </w:p>
        </w:tc>
        <w:tc>
          <w:tcPr/>
          <w:p>
            <w:pPr>
              <w:pStyle w:val="Compact"/>
            </w:pPr>
            <w:r>
              <w:t xml:space="preserve">Big Papillion-Mosquito</w:t>
            </w:r>
          </w:p>
        </w:tc>
        <w:tc>
          <w:tcPr/>
          <w:p>
            <w:pPr>
              <w:pStyle w:val="Compact"/>
            </w:pPr>
            <w:r>
              <w:t xml:space="preserve">IA, 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t xml:space="preserve">Council Bluffs / Omaha (Meta)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07120004</w:t>
            </w:r>
          </w:p>
        </w:tc>
        <w:tc>
          <w:tcPr/>
          <w:p>
            <w:pPr>
              <w:pStyle w:val="Compact"/>
            </w:pPr>
            <w:r>
              <w:t xml:space="preserve">Des Plaines</w:t>
            </w:r>
          </w:p>
        </w:tc>
        <w:tc>
          <w:tcPr/>
          <w:p>
            <w:pPr>
              <w:pStyle w:val="Compact"/>
            </w:pPr>
            <w:r>
              <w:t xml:space="preserve">IL, WI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t xml:space="preserve">Chicago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12100302</w:t>
            </w:r>
          </w:p>
        </w:tc>
        <w:tc>
          <w:tcPr/>
          <w:p>
            <w:pPr>
              <w:pStyle w:val="Compact"/>
            </w:pPr>
            <w:r>
              <w:t xml:space="preserve">Medina</w:t>
            </w:r>
          </w:p>
        </w:tc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San Antonio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02030105</w:t>
            </w:r>
          </w:p>
        </w:tc>
        <w:tc>
          <w:tcPr/>
          <w:p>
            <w:pPr>
              <w:pStyle w:val="Compact"/>
            </w:pPr>
            <w:r>
              <w:t xml:space="preserve">Raritan</w:t>
            </w:r>
          </w:p>
        </w:tc>
        <w:tc>
          <w:tcPr/>
          <w:p>
            <w:pPr>
              <w:pStyle w:val="Compact"/>
            </w:pPr>
            <w:r>
              <w:t xml:space="preserve">NJ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Central NJ carrier hotels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15050100</w:t>
            </w:r>
          </w:p>
        </w:tc>
        <w:tc>
          <w:tcPr/>
          <w:p>
            <w:pPr>
              <w:pStyle w:val="Compact"/>
            </w:pPr>
            <w:r>
              <w:t xml:space="preserve">Middle Gila</w:t>
            </w:r>
          </w:p>
        </w:tc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Phoenix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02030103</w:t>
            </w:r>
          </w:p>
        </w:tc>
        <w:tc>
          <w:tcPr/>
          <w:p>
            <w:pPr>
              <w:pStyle w:val="Compact"/>
            </w:pPr>
            <w:r>
              <w:t xml:space="preserve">Hackensack-Passaic</w:t>
            </w:r>
          </w:p>
        </w:tc>
        <w:tc>
          <w:tcPr/>
          <w:p>
            <w:pPr>
              <w:pStyle w:val="Compact"/>
            </w:pPr>
            <w:r>
              <w:t xml:space="preserve">NJ, NY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NYC metro east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17070103</w:t>
            </w:r>
          </w:p>
        </w:tc>
        <w:tc>
          <w:tcPr/>
          <w:p>
            <w:pPr>
              <w:pStyle w:val="Compact"/>
            </w:pPr>
            <w:r>
              <w:t xml:space="preserve">Umatilla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AWS-only (all 29 DCs) — pure single-operator basin</w:t>
            </w:r>
          </w:p>
        </w:tc>
      </w:tr>
    </w:tbl>
    <w:p>
      <w:pPr>
        <w:pStyle w:val="BodyText"/>
      </w:pPr>
      <w:r>
        <w:t xml:space="preserve">The non-metro / hyperscale Pacific Northwest story is visible at watershed scale: three Columbia-system watersheds (</w:t>
      </w:r>
      <w:r>
        <w:rPr>
          <w:b/>
          <w:bCs/>
        </w:rPr>
        <w:t xml:space="preserve">Middle Columbia-Lake Wallula, Lower Crab, Umatilla</w:t>
      </w:r>
      <w:r>
        <w:t xml:space="preserve">) hold 113 DCs combined, all hyperscale-dominated. Umatilla is operationally</w:t>
      </w:r>
      <w:r>
        <w:t xml:space="preserve"> </w:t>
      </w:r>
      <w:r>
        <w:rPr>
          <w:b/>
          <w:bCs/>
        </w:rPr>
        <w:t xml:space="preserve">AWS-exclusive</w:t>
      </w:r>
      <w:r>
        <w:t xml:space="preserve"> </w:t>
      </w:r>
      <w:r>
        <w:t xml:space="preserve">— all 29 DCs in that basin are AWS.</w:t>
      </w:r>
    </w:p>
    <w:bookmarkEnd w:id="25"/>
    <w:bookmarkStart w:id="26" w:name="X74a61a3dd0c6c543a8a99653196c8bc48270523"/>
    <w:p>
      <w:pPr>
        <w:pStyle w:val="Heading3"/>
      </w:pPr>
      <w:r>
        <w:t xml:space="preserve">Non-metro watersheds (RUCA 4–10) — where hyperscalers cluster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HUC8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</w:pPr>
            <w:r>
              <w:t xml:space="preserve">Operators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17070101</w:t>
            </w:r>
          </w:p>
        </w:tc>
        <w:tc>
          <w:tcPr/>
          <w:p>
            <w:pPr>
              <w:pStyle w:val="Compact"/>
            </w:pPr>
            <w:r>
              <w:t xml:space="preserve">Middle Columbia-Lake Wallula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t xml:space="preserve">AWS (multiple variants), Rowan Green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17020015</w:t>
            </w:r>
          </w:p>
        </w:tc>
        <w:tc>
          <w:tcPr/>
          <w:p>
            <w:pPr>
              <w:pStyle w:val="Compact"/>
            </w:pPr>
            <w:r>
              <w:t xml:space="preserve">Lower Crab</w:t>
            </w:r>
          </w:p>
        </w:tc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CyrusOne, Intuit, Microsoft, NTT, Sabey, Yahoo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17070103</w:t>
            </w:r>
          </w:p>
        </w:tc>
        <w:tc>
          <w:tcPr/>
          <w:p>
            <w:pPr>
              <w:pStyle w:val="Compact"/>
            </w:pPr>
            <w:r>
              <w:t xml:space="preserve">Umatilla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AWS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17070305</w:t>
            </w:r>
          </w:p>
        </w:tc>
        <w:tc>
          <w:tcPr/>
          <w:p>
            <w:pPr>
              <w:pStyle w:val="Compact"/>
            </w:pPr>
            <w:r>
              <w:t xml:space="preserve">Lower Crooked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Meta (Prineville)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13020203</w:t>
            </w:r>
          </w:p>
        </w:tc>
        <w:tc>
          <w:tcPr/>
          <w:p>
            <w:pPr>
              <w:pStyle w:val="Compact"/>
            </w:pPr>
            <w:r>
              <w:t xml:space="preserve">Rio Grande-Albuquerque</w:t>
            </w:r>
          </w:p>
        </w:tc>
        <w:tc>
          <w:tcPr/>
          <w:p>
            <w:pPr>
              <w:pStyle w:val="Compact"/>
            </w:pPr>
            <w:r>
              <w:t xml:space="preserve">NM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Meta (Los Lunas)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03050105</w:t>
            </w:r>
          </w:p>
        </w:tc>
        <w:tc>
          <w:tcPr/>
          <w:p>
            <w:pPr>
              <w:pStyle w:val="Compact"/>
            </w:pPr>
            <w:r>
              <w:t xml:space="preserve">Upper Broad</w:t>
            </w:r>
          </w:p>
        </w:tc>
        <w:tc>
          <w:tcPr/>
          <w:p>
            <w:pPr>
              <w:pStyle w:val="Compact"/>
            </w:pPr>
            <w:r>
              <w:t xml:space="preserve">NC, SC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Meta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13070001</w:t>
            </w:r>
          </w:p>
        </w:tc>
        <w:tc>
          <w:tcPr/>
          <w:p>
            <w:pPr>
              <w:pStyle w:val="Compact"/>
            </w:pPr>
            <w:r>
              <w:t xml:space="preserve">Lower Pecos-Red Bluff Reservoir</w:t>
            </w:r>
          </w:p>
        </w:tc>
        <w:tc>
          <w:tcPr/>
          <w:p>
            <w:pPr>
              <w:pStyle w:val="Compact"/>
            </w:pPr>
            <w:r>
              <w:t xml:space="preserve">NM, 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IONIC Digital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17070105</w:t>
            </w:r>
          </w:p>
        </w:tc>
        <w:tc>
          <w:tcPr/>
          <w:p>
            <w:pPr>
              <w:pStyle w:val="Compact"/>
            </w:pPr>
            <w:r>
              <w:t xml:space="preserve">Middle Columbia-Hood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Google (The Dalles)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02050107</w:t>
            </w:r>
          </w:p>
        </w:tc>
        <w:tc>
          <w:tcPr/>
          <w:p>
            <w:pPr>
              <w:pStyle w:val="Compact"/>
            </w:pPr>
            <w:r>
              <w:t xml:space="preserve">Upper Susquehanna-Lackawanna</w:t>
            </w:r>
          </w:p>
        </w:tc>
        <w:tc>
          <w:tcPr/>
          <w:p>
            <w:pPr>
              <w:pStyle w:val="Compact"/>
            </w:pPr>
            <w:r>
              <w:t xml:space="preserve">PA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03070103</w:t>
            </w:r>
          </w:p>
        </w:tc>
        <w:tc>
          <w:tcPr/>
          <w:p>
            <w:pPr>
              <w:pStyle w:val="Compact"/>
            </w:pPr>
            <w:r>
              <w:t xml:space="preserve">Upper Ocmulgee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Meta</w:t>
            </w:r>
          </w:p>
        </w:tc>
      </w:tr>
    </w:tbl>
    <w:p>
      <w:pPr>
        <w:pStyle w:val="BodyText"/>
      </w:pPr>
      <w:r>
        <w:t xml:space="preserve">This view is the cleanest evidence yet of the</w:t>
      </w:r>
      <w:r>
        <w:t xml:space="preserve"> </w:t>
      </w:r>
      <w:r>
        <w:rPr>
          <w:i/>
          <w:iCs/>
        </w:rPr>
        <w:t xml:space="preserve">hyperscale geographic strategy</w:t>
      </w:r>
      <w:r>
        <w:t xml:space="preserve"> </w:t>
      </w:r>
      <w:r>
        <w:t xml:space="preserve">— single-operator capture of individual watersheds (Umatilla = AWS, Lower Crooked = Meta, Middle Columbia-Hood = Google, Rio Grande-Albuquerque = Meta). Each of these basins has effectively been claimed by one player.</w:t>
      </w:r>
    </w:p>
    <w:bookmarkEnd w:id="26"/>
    <w:bookmarkStart w:id="27" w:name="implications-for-water-stress-analysis"/>
    <w:p>
      <w:pPr>
        <w:pStyle w:val="Heading3"/>
      </w:pPr>
      <w:r>
        <w:t xml:space="preserve">Implications for water-stress analysis</w:t>
      </w:r>
    </w:p>
    <w:p>
      <w:pPr>
        <w:pStyle w:val="FirstParagraph"/>
      </w:pPr>
      <w:r>
        <w:t xml:space="preserve">This watershed view is a</w:t>
      </w:r>
      <w:r>
        <w:t xml:space="preserve"> </w:t>
      </w:r>
      <w:r>
        <w:rPr>
          <w:b/>
          <w:bCs/>
        </w:rPr>
        <w:t xml:space="preserve">boundary set</w:t>
      </w:r>
      <w:r>
        <w:t xml:space="preserve"> </w:t>
      </w:r>
      <w:r>
        <w:t xml:space="preserve">for downstream water-stress analysis. Pull WaterWatch streamflow data, USGS water-use estimates, or EPA drought indicators against just these 257 HUC8s (or against just the top 15 for the highest-leverage story). A single-pull stress index against this set would size the</w:t>
      </w:r>
      <w:r>
        <w:t xml:space="preserve"> </w:t>
      </w:r>
      <w:r>
        <w:t xml:space="preserve">“water exposure”</w:t>
      </w:r>
      <w:r>
        <w:t xml:space="preserve"> </w:t>
      </w:r>
      <w:r>
        <w:t xml:space="preserve">of the entire US DC fleet.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5" w:name="Xd78a9cefb4b0a772f4045b912d1eb944f0e4309"/>
    <w:p>
      <w:pPr>
        <w:pStyle w:val="Heading2"/>
      </w:pPr>
      <w:r>
        <w:t xml:space="preserve">9. Database inventory (</w:t>
      </w:r>
      <w:r>
        <w:rPr>
          <w:rStyle w:val="VerbatimChar"/>
        </w:rPr>
        <w:t xml:space="preserve">data_centers</w:t>
      </w:r>
      <w:r>
        <w:t xml:space="preserve"> </w:t>
      </w:r>
      <w:r>
        <w:t xml:space="preserve">schema</w:t>
      </w:r>
      <w:r>
        <w:t xml:space="preserve"> </w:t>
      </w:r>
      <w:r>
        <w:rPr>
          <w:rStyle w:val="VerbatimChar"/>
        </w:rPr>
        <w:t xml:space="preserve">public</w:t>
      </w:r>
      <w:r>
        <w:t xml:space="preserve">)</w:t>
      </w:r>
    </w:p>
    <w:p>
      <w:pPr>
        <w:pStyle w:val="FirstParagraph"/>
      </w:pPr>
      <w:r>
        <w:t xml:space="preserve">All tables in the working database as of 2026-05-18.</w:t>
      </w:r>
      <w:r>
        <w:t xml:space="preserve"> </w:t>
      </w:r>
      <w:r>
        <w:t xml:space="preserve">“Used here”</w:t>
      </w:r>
      <w:r>
        <w:t xml:space="preserve"> </w:t>
      </w:r>
      <w:r>
        <w:t xml:space="preserve">= referenced in §1–§8 of this report. PostGIS internal tables (</w:t>
      </w:r>
      <w:r>
        <w:rPr>
          <w:rStyle w:val="VerbatimChar"/>
        </w:rPr>
        <w:t xml:space="preserve">spatial_ref_sys</w:t>
      </w:r>
      <w:r>
        <w:t xml:space="preserve">,</w:t>
      </w:r>
      <w:r>
        <w:t xml:space="preserve"> </w:t>
      </w:r>
      <w:r>
        <w:rPr>
          <w:rStyle w:val="VerbatimChar"/>
        </w:rPr>
        <w:t xml:space="preserve">geography_columns</w:t>
      </w:r>
      <w:r>
        <w:t xml:space="preserve">,</w:t>
      </w:r>
      <w:r>
        <w:t xml:space="preserve"> </w:t>
      </w:r>
      <w:r>
        <w:rPr>
          <w:rStyle w:val="VerbatimChar"/>
        </w:rPr>
        <w:t xml:space="preserve">geometry_columns</w:t>
      </w:r>
      <w:r>
        <w:t xml:space="preserve">) are omitted.</w:t>
      </w:r>
    </w:p>
    <w:bookmarkStart w:id="29" w:name="data-center-inventory-and-clustering"/>
    <w:p>
      <w:pPr>
        <w:pStyle w:val="Heading3"/>
      </w:pPr>
      <w:r>
        <w:t xml:space="preserve">Data center inventory and clustering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Unified, deduplicated DC inventory — the canonical row-per-DC table joining curated, OSM, and sample sources via</w:t>
            </w:r>
            <w:r>
              <w:t xml:space="preserve"> </w:t>
            </w:r>
            <w:r>
              <w:rPr>
                <w:rStyle w:val="VerbatimChar"/>
              </w:rPr>
              <w:t xml:space="preserve">master_id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osm_data_centers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1,549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Raw OSM-derived DC features (nodes/ways tagged as data centers), one of the inputs to</w:t>
            </w:r>
            <w:r>
              <w:t xml:space="preserve"> </w:t>
            </w:r>
            <w:r>
              <w:rPr>
                <w:rStyle w:val="VerbatimChar"/>
              </w:rPr>
              <w:t xml:space="preserve">master_data_centers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us_dc_sample_geocoded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1,489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Earlier sample-list DC inventory with geocoding lineage (Nominatim + Census TIGER), superseded by</w:t>
            </w:r>
            <w:r>
              <w:t xml:space="preserve"> </w:t>
            </w:r>
            <w:r>
              <w:rPr>
                <w:rStyle w:val="VerbatimChar"/>
              </w:rPr>
              <w:t xml:space="preserve">master_data_centers</w:t>
            </w:r>
            <w:r>
              <w:t xml:space="preserve"> </w:t>
            </w:r>
            <w:r>
              <w:t xml:space="preserve">but retained for provenance.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data_centers_union</w:t>
            </w:r>
            <w:r>
              <w:t xml:space="preserve"> </w:t>
            </w:r>
            <w:r>
              <w:t xml:space="preserve">(view)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Convenience view unioning the curated and OSM source rows with a</w:t>
            </w:r>
            <w:r>
              <w:t xml:space="preserve"> </w:t>
            </w:r>
            <w:r>
              <w:rPr>
                <w:rStyle w:val="VerbatimChar"/>
              </w:rPr>
              <w:t xml:space="preserve">source</w:t>
            </w:r>
            <w:r>
              <w:t xml:space="preserve"> </w:t>
            </w:r>
            <w:r>
              <w:t xml:space="preserve">discriminator.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master_data_center_spatial_clusters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DBSCAN cluster assignment per DC (</w:t>
            </w:r>
            <w:r>
              <w:rPr>
                <w:rStyle w:val="VerbatimChar"/>
              </w:rPr>
              <w:t xml:space="preserve">cluster_id</w:t>
            </w:r>
            <w:r>
              <w:t xml:space="preserve">, noise flag), used in §3.</w:t>
            </w:r>
          </w:p>
        </w:tc>
      </w:tr>
    </w:tbl>
    <w:bookmarkEnd w:id="29"/>
    <w:bookmarkStart w:id="30" w:name="per-dc-join-tables"/>
    <w:p>
      <w:pPr>
        <w:pStyle w:val="Heading3"/>
      </w:pPr>
      <w:r>
        <w:t xml:space="preserve">Per-DC join tables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data_center_census_tracts_2024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One row per DC with attached ACS-2024 demographics from its containing tract — the master demographic join.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data_center_watershed_huc8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One row per DC with its containing USGS HUC8 watershed (</w:t>
            </w:r>
            <w:r>
              <w:rPr>
                <w:rStyle w:val="VerbatimChar"/>
              </w:rPr>
              <w:t xml:space="preserve">huc8</w:t>
            </w:r>
            <w:r>
              <w:t xml:space="preserve">, name, states, area), built 2026-05-18 via</w:t>
            </w:r>
            <w:r>
              <w:t xml:space="preserve"> </w:t>
            </w:r>
            <w:r>
              <w:rPr>
                <w:rStyle w:val="VerbatimChar"/>
              </w:rPr>
              <w:t xml:space="preserve">ST_Within</w:t>
            </w:r>
            <w:r>
              <w:t xml:space="preserve">.</w:t>
            </w:r>
          </w:p>
        </w:tc>
      </w:tr>
    </w:tbl>
    <w:bookmarkEnd w:id="30"/>
    <w:bookmarkStart w:id="31" w:name="base-geographic-demographic-layers"/>
    <w:p>
      <w:pPr>
        <w:pStyle w:val="Heading3"/>
      </w:pPr>
      <w:r>
        <w:t xml:space="preserve">Base geographic / demographic layers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_dc_census_tract_acs_2024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85,382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Staging: ACS-2024 5-year profile attributes for every US tract that contains a DC (and surrounding tracts for context).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_dc_census_tract_boundaries_2024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85,058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Staging: TIGER 2024 tract polygons for the DC-tract universe.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ruca_codes_2020_tract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85,528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USDA RUCA 2020 codes per tract, the metro/micropolitan/rural classification used in §4–§5.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watershed_huc8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2,139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USGS Watershed Boundary Dataset HUC8 subbasin polygons (median ~3,000 km²) covering CONUS + AK.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_watershed_huc8_stage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Staging table from an earlier partial WBD load, superseded by</w:t>
            </w:r>
            <w:r>
              <w:t xml:space="preserve"> </w:t>
            </w:r>
            <w:r>
              <w:rPr>
                <w:rStyle w:val="VerbatimChar"/>
              </w:rPr>
              <w:t xml:space="preserve">watershed_huc8</w:t>
            </w:r>
            <w:r>
              <w:t xml:space="preserve">. Candidate for cleanup.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census_tract_huc8_link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Tract↔HUC8 spatial overlap table (with overlap %) for the subset of tracts containing a DC. Useful for downstream tract-level water-stress joins.</w:t>
            </w:r>
          </w:p>
        </w:tc>
      </w:tr>
    </w:tbl>
    <w:bookmarkEnd w:id="31"/>
    <w:bookmarkStart w:id="32" w:name="energy-data"/>
    <w:p>
      <w:pPr>
        <w:pStyle w:val="Heading3"/>
      </w:pPr>
      <w:r>
        <w:t xml:space="preserve">Energy data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energy_eia_operating_generator_capacity_flat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EIA Form-860 operating generator inventory, monthly 2008–2026, with nameplate / summer / winter MW and point geometry. Source for §6 and §7 capacity figures.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energy_eia_seds_flat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2.57M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EIA SEDS annual state energy series 1960–2024 (consumption, prices, expenditures by sector / fuel). Source for §7 state electricity consumption (</w:t>
            </w:r>
            <w:r>
              <w:rPr>
                <w:rStyle w:val="VerbatimChar"/>
              </w:rPr>
              <w:t xml:space="preserve">ESTCB</w:t>
            </w:r>
            <w:r>
              <w:t xml:space="preserve">, 2024). Backfilled 2026-05-18.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energy_atlas_layers_catalog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Metadata catalog of EIA layers ingested by</w:t>
            </w:r>
            <w:r>
              <w:t xml:space="preserve"> </w:t>
            </w:r>
            <w:r>
              <w:rPr>
                <w:rStyle w:val="VerbatimChar"/>
              </w:rPr>
              <w:t xml:space="preserve">ingest_eia_energy_layers.py</w:t>
            </w:r>
            <w:r>
              <w:t xml:space="preserve"> </w:t>
            </w:r>
            <w:r>
              <w:t xml:space="preserve">(table name, source URL, import timestamp).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im3_state_projected_moderate_50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PNNL IM3 projected DC siting under the moderate-growth scenario at gravity-weight 0.50 — one row per projected facility (cost, IT MW, cooling-water demand, lat/lon). Loaded but unused.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im3_projected_state_demand_summary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State-level rollup of IM3 projected facility counts, IT MW, and cooling demand. Loaded but unused.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seds_national_msn_year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Empty placeholder for national SEDS time-series; superseded by</w:t>
            </w:r>
            <w:r>
              <w:t xml:space="preserve"> </w:t>
            </w:r>
            <w:r>
              <w:rPr>
                <w:rStyle w:val="VerbatimChar"/>
              </w:rPr>
              <w:t xml:space="preserve">energy_eia_seds_flat</w:t>
            </w:r>
            <w:r>
              <w:t xml:space="preserve">. Drop candidate.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seds_state_msn_year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Empty placeholder for state SEDS time-series; superseded by</w:t>
            </w:r>
            <w:r>
              <w:t xml:space="preserve"> </w:t>
            </w:r>
            <w:r>
              <w:rPr>
                <w:rStyle w:val="VerbatimChar"/>
              </w:rPr>
              <w:t xml:space="preserve">energy_eia_seds_flat</w:t>
            </w:r>
            <w:r>
              <w:t xml:space="preserve">. Drop candidate.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utility_rate_tracker_2025_2028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Utility rate-increase tracker by provider × state × service type, with effective dates and monthly $ + % increases. Loaded but unused in the demographic/energy analysis.</w:t>
            </w:r>
          </w:p>
        </w:tc>
      </w:tr>
    </w:tbl>
    <w:bookmarkEnd w:id="32"/>
    <w:bookmarkStart w:id="33" w:name="X1dd25162ce7f983d2377a86ae00e2d2e0d56924"/>
    <w:p>
      <w:pPr>
        <w:pStyle w:val="Heading3"/>
      </w:pPr>
      <w:r>
        <w:t xml:space="preserve">Connectivity (submarine cables, exchange capacity)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internet_cables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Submarine cable routes (geometry, RFS year, decommission year, owners, length km) from TeleGeography-style data.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internet_cable_landing_points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3,361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Cable landing points (country, name, TBD flag) — endpoint nodes for</w:t>
            </w:r>
            <w:r>
              <w:t xml:space="preserve"> </w:t>
            </w:r>
            <w:r>
              <w:rPr>
                <w:rStyle w:val="VerbatimChar"/>
              </w:rPr>
              <w:t xml:space="preserve">internet_cables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internet_cable_meta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Source-provenance metadata for the cable dataset (key/value).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internet_cable_year_summaries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Year-by-year narrative descriptions of cable activity.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internet_city_dominance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4,552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City-level physical capacity (Tbps), logical-dominance IP count, and top ASNs — proxy for internet-hub strength of each candidate DC city.</w:t>
            </w:r>
          </w:p>
        </w:tc>
      </w:tr>
    </w:tbl>
    <w:bookmarkEnd w:id="33"/>
    <w:bookmarkStart w:id="34" w:name="other"/>
    <w:p>
      <w:pPr>
        <w:pStyle w:val="Heading3"/>
      </w:pPr>
      <w:r>
        <w:t xml:space="preserve">Other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Used here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opposition_cases_geocoded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Geocoded community-opposition cases against DC builds (developer, investment $B, outcome, governance response). Loaded but unused — see next-steps item #5.</w:t>
            </w:r>
          </w:p>
        </w:tc>
      </w:tr>
    </w:tbl>
    <w:p>
      <w:pPr>
        <w:pStyle w:val="BodyText"/>
      </w:pPr>
      <w:r>
        <w:rPr>
          <w:b/>
          <w:bCs/>
        </w:rPr>
        <w:t xml:space="preserve">Cleanup candidates.</w:t>
      </w:r>
      <w:r>
        <w:t xml:space="preserve"> </w:t>
      </w:r>
      <w:r>
        <w:rPr>
          <w:rStyle w:val="VerbatimChar"/>
        </w:rPr>
        <w:t xml:space="preserve">_watershed_huc8_stage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seds_national_msn_year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seds_state_msn_year</w:t>
      </w:r>
      <w:r>
        <w:t xml:space="preserve">, and possibly</w:t>
      </w:r>
      <w:r>
        <w:t xml:space="preserve"> </w:t>
      </w:r>
      <w:r>
        <w:rPr>
          <w:rStyle w:val="VerbatimChar"/>
        </w:rPr>
        <w:t xml:space="preserve">us_dc_sample_geocoded</w:t>
      </w:r>
      <w:r>
        <w:t xml:space="preserve"> </w:t>
      </w:r>
      <w:r>
        <w:t xml:space="preserve">are superseded by their canonical counterparts and could be dropped to reduce confusion.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data-quality-flags"/>
    <w:p>
      <w:pPr>
        <w:pStyle w:val="Heading2"/>
      </w:pPr>
      <w:r>
        <w:t xml:space="preserve">Data quality flags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  <w:b/>
          <w:bCs/>
        </w:rPr>
        <w:t xml:space="preserve">master_data_centers.power_mw</w:t>
      </w:r>
      <w:r>
        <w:rPr>
          <w:b/>
          <w:bCs/>
        </w:rPr>
        <w:t xml:space="preserve"> </w:t>
      </w:r>
      <w:r>
        <w:rPr>
          <w:b/>
          <w:bCs/>
        </w:rPr>
        <w:t xml:space="preserve">is populated for only 108 / 1,833 DCs (5.9%).</w:t>
      </w:r>
      <w:r>
        <w:t xml:space="preserve"> </w:t>
      </w:r>
      <w:r>
        <w:t xml:space="preserve">Useless as a sizing metric without imputation or alternative source. Nearby EIA capacity is the more reliable proxy (used as the per-DC scale in this analysis). A grant-funded scrape of Baxtel / Data Center Map would close this gap.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50 of 190 non-metro DCs (26%) have null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operator</w:t>
      </w:r>
      <w:r>
        <w:rPr>
          <w:b/>
          <w:bCs/>
        </w:rPr>
        <w:t xml:space="preserve">.</w:t>
      </w:r>
      <w:r>
        <w:t xml:space="preserve"> </w:t>
      </w:r>
      <w:r>
        <w:t xml:space="preserve">Likely hyperscalers based on geography (OR/WA) but unconfirmed.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Operator-string fragmentation</w:t>
      </w:r>
      <w:r>
        <w:t xml:space="preserve">:</w:t>
      </w:r>
      <w:r>
        <w:t xml:space="preserve"> </w:t>
      </w:r>
      <w:r>
        <w:t xml:space="preserve">“Meta”</w:t>
      </w:r>
      <w:r>
        <w:t xml:space="preserve"> </w:t>
      </w:r>
      <w:r>
        <w:t xml:space="preserve">vs. </w:t>
      </w:r>
      <w:r>
        <w:t xml:space="preserve">“Meta, Inc.”</w:t>
      </w:r>
      <w:r>
        <w:t xml:space="preserve">;</w:t>
      </w:r>
      <w:r>
        <w:t xml:space="preserve"> </w:t>
      </w:r>
      <w:r>
        <w:t xml:space="preserve">“Amazon Web Services”</w:t>
      </w:r>
      <w:r>
        <w:t xml:space="preserve"> </w:t>
      </w:r>
      <w:r>
        <w:t xml:space="preserve">vs. </w:t>
      </w:r>
      <w:r>
        <w:t xml:space="preserve">“Amazon AWS”</w:t>
      </w:r>
      <w:r>
        <w:t xml:space="preserve"> </w:t>
      </w:r>
      <w:r>
        <w:t xml:space="preserve">vs. </w:t>
      </w:r>
      <w:r>
        <w:t xml:space="preserve">“amazon web services”</w:t>
      </w:r>
      <w:r>
        <w:t xml:space="preserve">;</w:t>
      </w:r>
      <w:r>
        <w:t xml:space="preserve"> </w:t>
      </w:r>
      <w:r>
        <w:t xml:space="preserve">“Microsoft”</w:t>
      </w:r>
      <w:r>
        <w:t xml:space="preserve"> </w:t>
      </w:r>
      <w:r>
        <w:t xml:space="preserve">vs. </w:t>
      </w:r>
      <w:r>
        <w:t xml:space="preserve">“Microsoft Azure”</w:t>
      </w:r>
      <w:r>
        <w:t xml:space="preserve">. Inflates distinct-operator counts and fragments per-operator totals.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  <w:strike/>
        </w:rPr>
        <w:t xml:space="preserve">avg_household_size</w:t>
      </w:r>
      <w:r>
        <w:rPr>
          <w:strike/>
        </w:rPr>
        <w:t xml:space="preserve"> </w:t>
      </w:r>
      <w:r>
        <w:rPr>
          <w:strike/>
        </w:rPr>
        <w:t xml:space="preserve">column has sentinel pollution</w:t>
      </w:r>
      <w:r>
        <w:t xml:space="preserve"> </w:t>
      </w:r>
      <w:r>
        <w:rPr>
          <w:b/>
          <w:bCs/>
        </w:rPr>
        <w:t xml:space="preserve">Resolved 2026-05-18</w:t>
      </w:r>
      <w:r>
        <w:t xml:space="preserve"> </w:t>
      </w:r>
      <w:r>
        <w:t xml:space="preserve">— 1,089 sentinel values (−666,666,666) in</w:t>
      </w:r>
      <w:r>
        <w:t xml:space="preserve"> </w:t>
      </w:r>
      <w:r>
        <w:rPr>
          <w:rStyle w:val="VerbatimChar"/>
        </w:rPr>
        <w:t xml:space="preserve">_dc_census_tract_acs_2024</w:t>
      </w:r>
      <w:r>
        <w:t xml:space="preserve"> </w:t>
      </w:r>
      <w:r>
        <w:t xml:space="preserve">and 16 in</w:t>
      </w:r>
      <w:r>
        <w:t xml:space="preserve"> </w:t>
      </w:r>
      <w:r>
        <w:rPr>
          <w:rStyle w:val="VerbatimChar"/>
        </w:rPr>
        <w:t xml:space="preserve">data_center_census_tracts_2024</w:t>
      </w:r>
      <w:r>
        <w:t xml:space="preserve"> </w:t>
      </w:r>
      <w:r>
        <w:t xml:space="preserve">replaced with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 Affected 29 DCs.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7 DCs failed RUCA join</w:t>
      </w:r>
      <w:r>
        <w:t xml:space="preserve"> </w:t>
      </w:r>
      <w:r>
        <w:t xml:space="preserve">— Puerto Rico tracts or non-US locations; trivial.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EIA generator coordinates had a longitude sign error for 2008-01 through 2010-11</w:t>
      </w:r>
      <w:r>
        <w:t xml:space="preserve"> </w:t>
      </w:r>
      <w:r>
        <w:t xml:space="preserve">(~11K rows with positive lower-48 longitudes). The flat-table build at</w:t>
      </w:r>
      <w:r>
        <w:t xml:space="preserve"> </w:t>
      </w:r>
      <w:hyperlink r:id="rId36">
        <w:r>
          <w:rPr>
            <w:rStyle w:val="Hyperlink"/>
          </w:rPr>
          <w:t xml:space="preserve">ingest_eia_energy_layers.py:839-870</w:t>
        </w:r>
      </w:hyperlink>
      <w:r>
        <w:t xml:space="preserve"> </w:t>
      </w:r>
      <w:r>
        <w:t xml:space="preserve">corrects this in</w:t>
      </w:r>
      <w:r>
        <w:t xml:space="preserve"> </w:t>
      </w:r>
      <w:r>
        <w:rPr>
          <w:rStyle w:val="VerbatimChar"/>
        </w:rPr>
        <w:t xml:space="preserve">longitude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geom</w:t>
      </w:r>
      <w:r>
        <w:t xml:space="preserve">, so spatial joins are unaffected.</w:t>
      </w:r>
    </w:p>
    <w:p>
      <w:r>
        <w:pict>
          <v:rect style="width:0;height:1.5pt" o:hralign="center" o:hrstd="t" o:hr="t"/>
        </w:pict>
      </w:r>
    </w:p>
    <w:bookmarkEnd w:id="37"/>
    <w:bookmarkStart w:id="38" w:name="suggested-next-steps"/>
    <w:p>
      <w:pPr>
        <w:pStyle w:val="Heading2"/>
      </w:pPr>
      <w:r>
        <w:t xml:space="preserve">Suggested next steps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Backfill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power_mw</w:t>
      </w:r>
      <w:r>
        <w:t xml:space="preserve"> </w:t>
      </w:r>
      <w:r>
        <w:t xml:space="preserve">from Baxtel / Data Center Map (paid scrape — grant work).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Operator-string deduplication</w:t>
      </w:r>
      <w:r>
        <w:t xml:space="preserve"> </w:t>
      </w:r>
      <w:r>
        <w:t xml:space="preserve">— collapse</w:t>
      </w:r>
      <w:r>
        <w:t xml:space="preserve"> </w:t>
      </w:r>
      <w:r>
        <w:t xml:space="preserve">“Meta”</w:t>
      </w:r>
      <w:r>
        <w:t xml:space="preserve">/</w:t>
      </w:r>
      <w:r>
        <w:t xml:space="preserve">“Meta, Inc.”</w:t>
      </w:r>
      <w:r>
        <w:t xml:space="preserve">,</w:t>
      </w:r>
      <w:r>
        <w:t xml:space="preserve"> </w:t>
      </w:r>
      <w:r>
        <w:t xml:space="preserve">“AWS”</w:t>
      </w:r>
      <w:r>
        <w:t xml:space="preserve"> </w:t>
      </w:r>
      <w:r>
        <w:t xml:space="preserve">variants, etc., before any per-operator analysis.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Water-stress overlay against the 257 watersheds</w:t>
      </w:r>
      <w:r>
        <w:t xml:space="preserve"> </w:t>
      </w:r>
      <w:r>
        <w:t xml:space="preserve">— now that the HUC8 join is in place, pull USGS WaterWatch streamflow data, USGS water-use estimates, or EPA drought-status indicators against this watershed set. A single stress index per HUC8 would size the entire US fleet’s water exposure.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Forward-projected demand overlay</w:t>
      </w:r>
      <w:r>
        <w:t xml:space="preserve"> </w:t>
      </w:r>
      <w:r>
        <w:t xml:space="preserve">— the static SEDS / OGC capacity-share view in §7 is a snapshot. Joining</w:t>
      </w:r>
      <w:r>
        <w:t xml:space="preserve"> </w:t>
      </w:r>
      <w:r>
        <w:rPr>
          <w:rStyle w:val="VerbatimChar"/>
        </w:rPr>
        <w:t xml:space="preserve">im3_state_projected_moderate_50</w:t>
      </w:r>
      <w:r>
        <w:t xml:space="preserve"> </w:t>
      </w:r>
      <w:r>
        <w:t xml:space="preserve">against the §7 saturation table would let us flag which already-saturated states (NJ, NV, TN, OR) are projected to need the most additional generation before 2050.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Opposition cases overlay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opposition_cases_geocoded</w:t>
      </w:r>
      <w:r>
        <w:t xml:space="preserve"> </w:t>
      </w:r>
      <w:r>
        <w:t xml:space="preserve">is loaded but unused; could test whether cluster-vs-isolated demographic differences (or watershed concentration) predict community opposition.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cluster_analysis.ipynb" TargetMode="External" /><Relationship Type="http://schemas.openxmlformats.org/officeDocument/2006/relationships/hyperlink" Id="rId36" Target="../ingest_eia_energy_layers.py#L839-L8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cluster_analysis.ipynb" TargetMode="External" /><Relationship Type="http://schemas.openxmlformats.org/officeDocument/2006/relationships/hyperlink" Id="rId36" Target="../ingest_eia_energy_layers.py#L839-L8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2026-05-18T16:03:08Z</dcterms:created>
  <dcterms:modified xsi:type="dcterms:W3CDTF">2026-05-18T16:03:08Z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